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7AEFB" w14:textId="77777777" w:rsidR="00E63D5B" w:rsidRPr="000B7AA5" w:rsidRDefault="00E63D5B">
      <w:pPr>
        <w:spacing w:after="2400"/>
        <w:jc w:val="center"/>
        <w:rPr>
          <w:lang w:val="el-GR"/>
        </w:rPr>
      </w:pPr>
    </w:p>
    <w:p w14:paraId="7EE0A17B" w14:textId="77777777" w:rsidR="00E63D5B" w:rsidRPr="00132066" w:rsidRDefault="001F059D">
      <w:pPr>
        <w:spacing w:after="160"/>
        <w:jc w:val="center"/>
        <w:rPr>
          <w:lang w:val="el-GR"/>
        </w:rPr>
      </w:pPr>
      <w:r>
        <w:rPr>
          <w:b/>
          <w:bCs/>
          <w:color w:val="B5533C"/>
          <w:sz w:val="26"/>
          <w:szCs w:val="26"/>
          <w:lang w:val="el-GR"/>
        </w:rPr>
        <w:t>ΕΠΙΤΕΛΙΚΗ ΣΥΝΟΨΗ ΕΡΕΥΝΑΣ</w:t>
      </w:r>
    </w:p>
    <w:p w14:paraId="0A9FE4C5" w14:textId="77777777" w:rsidR="00E63D5B" w:rsidRPr="00132066" w:rsidRDefault="00E63D5B">
      <w:pPr>
        <w:spacing w:after="360"/>
        <w:jc w:val="center"/>
        <w:rPr>
          <w:lang w:val="el-GR"/>
        </w:rPr>
      </w:pPr>
    </w:p>
    <w:p w14:paraId="3318216C" w14:textId="77777777" w:rsidR="00E63D5B" w:rsidRPr="00132066" w:rsidRDefault="001F059D">
      <w:pPr>
        <w:spacing w:after="160"/>
        <w:jc w:val="center"/>
        <w:rPr>
          <w:lang w:val="el-GR"/>
        </w:rPr>
      </w:pPr>
      <w:r>
        <w:rPr>
          <w:b/>
          <w:bCs/>
          <w:color w:val="1D2B44"/>
          <w:sz w:val="40"/>
          <w:szCs w:val="40"/>
          <w:lang w:val="el-GR"/>
        </w:rPr>
        <w:t xml:space="preserve">Ανίχνευση του τραύματος της ενδοοικογενειακής βίας στις γυναίκες και στα παιδιά τους, ποιότητα ζωής και </w:t>
      </w:r>
      <w:proofErr w:type="spellStart"/>
      <w:r>
        <w:rPr>
          <w:b/>
          <w:bCs/>
          <w:color w:val="1D2B44"/>
          <w:sz w:val="40"/>
          <w:szCs w:val="40"/>
          <w:lang w:val="el-GR"/>
        </w:rPr>
        <w:t>μετατραυματική</w:t>
      </w:r>
      <w:proofErr w:type="spellEnd"/>
      <w:r>
        <w:rPr>
          <w:b/>
          <w:bCs/>
          <w:color w:val="1D2B44"/>
          <w:sz w:val="40"/>
          <w:szCs w:val="40"/>
          <w:lang w:val="el-GR"/>
        </w:rPr>
        <w:t xml:space="preserve"> ανάπτυξη</w:t>
      </w:r>
    </w:p>
    <w:p w14:paraId="3FC70D7E" w14:textId="77777777" w:rsidR="00E63D5B" w:rsidRPr="00132066" w:rsidRDefault="001F059D">
      <w:pPr>
        <w:spacing w:after="160"/>
        <w:jc w:val="center"/>
        <w:rPr>
          <w:lang w:val="el-GR"/>
        </w:rPr>
      </w:pPr>
      <w:r>
        <w:rPr>
          <w:sz w:val="28"/>
          <w:szCs w:val="28"/>
          <w:lang w:val="el-GR"/>
        </w:rPr>
        <w:t>Καταγραφή, αξιολόγηση και προτάσεις παρέμβασης</w:t>
      </w:r>
    </w:p>
    <w:p w14:paraId="525D6BC5" w14:textId="77777777" w:rsidR="00E63D5B" w:rsidRPr="00132066" w:rsidRDefault="00E63D5B">
      <w:pPr>
        <w:spacing w:after="800"/>
        <w:jc w:val="center"/>
        <w:rPr>
          <w:lang w:val="el-GR"/>
        </w:rPr>
      </w:pPr>
    </w:p>
    <w:p w14:paraId="64FC4BF7" w14:textId="77777777" w:rsidR="00E63D5B" w:rsidRPr="00132066" w:rsidRDefault="001F059D">
      <w:pPr>
        <w:spacing w:after="160"/>
        <w:jc w:val="center"/>
        <w:rPr>
          <w:lang w:val="el-GR"/>
        </w:rPr>
      </w:pPr>
      <w:r>
        <w:rPr>
          <w:sz w:val="24"/>
          <w:szCs w:val="24"/>
          <w:lang w:val="el-GR"/>
        </w:rPr>
        <w:t xml:space="preserve">Ντόνα </w:t>
      </w:r>
      <w:proofErr w:type="spellStart"/>
      <w:r>
        <w:rPr>
          <w:sz w:val="24"/>
          <w:szCs w:val="24"/>
          <w:lang w:val="el-GR"/>
        </w:rPr>
        <w:t>Παπαστυλιανού</w:t>
      </w:r>
      <w:proofErr w:type="spellEnd"/>
      <w:r>
        <w:rPr>
          <w:sz w:val="24"/>
          <w:szCs w:val="24"/>
          <w:lang w:val="el-GR"/>
        </w:rPr>
        <w:t xml:space="preserve">, Ελένη </w:t>
      </w:r>
      <w:proofErr w:type="spellStart"/>
      <w:r>
        <w:rPr>
          <w:sz w:val="24"/>
          <w:szCs w:val="24"/>
          <w:lang w:val="el-GR"/>
        </w:rPr>
        <w:t>Βούσουρα</w:t>
      </w:r>
      <w:proofErr w:type="spellEnd"/>
      <w:r>
        <w:rPr>
          <w:sz w:val="24"/>
          <w:szCs w:val="24"/>
          <w:lang w:val="el-GR"/>
        </w:rPr>
        <w:t>, Βασιλική Ευσταθίου,</w:t>
      </w:r>
    </w:p>
    <w:p w14:paraId="3DFB360C" w14:textId="77777777" w:rsidR="00E63D5B" w:rsidRPr="00132066" w:rsidRDefault="001F059D">
      <w:pPr>
        <w:spacing w:after="160"/>
        <w:jc w:val="center"/>
        <w:rPr>
          <w:lang w:val="el-GR"/>
        </w:rPr>
      </w:pPr>
      <w:r>
        <w:rPr>
          <w:sz w:val="24"/>
          <w:szCs w:val="24"/>
          <w:lang w:val="el-GR"/>
        </w:rPr>
        <w:t xml:space="preserve">Βασιλεία Ζέρβα, Νίκος </w:t>
      </w:r>
      <w:proofErr w:type="spellStart"/>
      <w:r>
        <w:rPr>
          <w:sz w:val="24"/>
          <w:szCs w:val="24"/>
          <w:lang w:val="el-GR"/>
        </w:rPr>
        <w:t>Παγγός</w:t>
      </w:r>
      <w:proofErr w:type="spellEnd"/>
      <w:r>
        <w:rPr>
          <w:sz w:val="24"/>
          <w:szCs w:val="24"/>
          <w:lang w:val="el-GR"/>
        </w:rPr>
        <w:t xml:space="preserve">, Γρηγόρης </w:t>
      </w:r>
      <w:proofErr w:type="spellStart"/>
      <w:r>
        <w:rPr>
          <w:sz w:val="24"/>
          <w:szCs w:val="24"/>
          <w:lang w:val="el-GR"/>
        </w:rPr>
        <w:t>Μπεκατώρος</w:t>
      </w:r>
      <w:proofErr w:type="spellEnd"/>
    </w:p>
    <w:p w14:paraId="695532BD" w14:textId="77777777" w:rsidR="00E63D5B" w:rsidRPr="00132066" w:rsidRDefault="00E63D5B">
      <w:pPr>
        <w:spacing w:after="400"/>
        <w:jc w:val="center"/>
        <w:rPr>
          <w:lang w:val="el-GR"/>
        </w:rPr>
      </w:pPr>
    </w:p>
    <w:p w14:paraId="04886856" w14:textId="77777777" w:rsidR="00E63D5B" w:rsidRPr="00132066" w:rsidRDefault="001F059D">
      <w:pPr>
        <w:spacing w:after="160"/>
        <w:jc w:val="center"/>
        <w:rPr>
          <w:lang w:val="el-GR"/>
        </w:rPr>
      </w:pPr>
      <w:r>
        <w:rPr>
          <w:sz w:val="24"/>
          <w:szCs w:val="24"/>
          <w:lang w:val="el-GR"/>
        </w:rPr>
        <w:t>Τμήμα Ψυχολογίας</w:t>
      </w:r>
    </w:p>
    <w:p w14:paraId="00175F66" w14:textId="77777777" w:rsidR="00E63D5B" w:rsidRPr="00132066" w:rsidRDefault="001F059D">
      <w:pPr>
        <w:spacing w:after="160"/>
        <w:jc w:val="center"/>
        <w:rPr>
          <w:lang w:val="el-GR"/>
        </w:rPr>
      </w:pPr>
      <w:r>
        <w:rPr>
          <w:sz w:val="24"/>
          <w:szCs w:val="24"/>
          <w:lang w:val="el-GR"/>
        </w:rPr>
        <w:t>Εθνικό και Καποδιστριακό Πανεπιστήμιο Αθηνών</w:t>
      </w:r>
    </w:p>
    <w:p w14:paraId="1BB3695B" w14:textId="77777777" w:rsidR="00E63D5B" w:rsidRPr="00132066" w:rsidRDefault="00E63D5B">
      <w:pPr>
        <w:spacing w:after="800"/>
        <w:jc w:val="center"/>
        <w:rPr>
          <w:lang w:val="el-GR"/>
        </w:rPr>
      </w:pPr>
    </w:p>
    <w:p w14:paraId="4CDD7C5C" w14:textId="77777777" w:rsidR="00E63D5B" w:rsidRPr="00132066" w:rsidRDefault="001F059D">
      <w:pPr>
        <w:spacing w:after="160"/>
        <w:jc w:val="center"/>
        <w:rPr>
          <w:lang w:val="el-GR"/>
        </w:rPr>
      </w:pPr>
      <w:r>
        <w:rPr>
          <w:i/>
          <w:iCs/>
          <w:lang w:val="el-GR"/>
        </w:rPr>
        <w:t>Έρευνα που εκπονήθηκε για λογαριασμό του Κέντρου Ερευνών για Θέματα Ισότητας (ΚΕΘΙ)</w:t>
      </w:r>
    </w:p>
    <w:p w14:paraId="67F8B4A7" w14:textId="77777777" w:rsidR="00E63D5B" w:rsidRPr="00132066" w:rsidRDefault="00E63D5B">
      <w:pPr>
        <w:spacing w:after="600"/>
        <w:jc w:val="center"/>
        <w:rPr>
          <w:lang w:val="el-GR"/>
        </w:rPr>
      </w:pPr>
    </w:p>
    <w:p w14:paraId="4B3765B3" w14:textId="77777777" w:rsidR="00E63D5B" w:rsidRDefault="001F059D">
      <w:pPr>
        <w:spacing w:after="160"/>
        <w:jc w:val="center"/>
      </w:pPr>
      <w:r>
        <w:rPr>
          <w:sz w:val="24"/>
          <w:szCs w:val="24"/>
        </w:rPr>
        <w:t xml:space="preserve">Αθήνα, </w:t>
      </w:r>
      <w:proofErr w:type="spellStart"/>
      <w:r>
        <w:rPr>
          <w:sz w:val="24"/>
          <w:szCs w:val="24"/>
        </w:rPr>
        <w:t>Σε</w:t>
      </w:r>
      <w:proofErr w:type="spellEnd"/>
      <w:r>
        <w:rPr>
          <w:sz w:val="24"/>
          <w:szCs w:val="24"/>
        </w:rPr>
        <w:t>πτέμβριος 2026</w:t>
      </w:r>
    </w:p>
    <w:p w14:paraId="2745679C" w14:textId="77777777" w:rsidR="00E63D5B" w:rsidRDefault="001F059D">
      <w:r>
        <w:br w:type="page"/>
      </w:r>
    </w:p>
    <w:p w14:paraId="2CA48E82" w14:textId="77777777" w:rsidR="00E63D5B" w:rsidRDefault="001F059D">
      <w:pPr>
        <w:jc w:val="left"/>
      </w:pPr>
      <w:proofErr w:type="spellStart"/>
      <w:r>
        <w:rPr>
          <w:b/>
          <w:bCs/>
          <w:color w:val="1D2B44"/>
          <w:sz w:val="32"/>
          <w:szCs w:val="32"/>
        </w:rPr>
        <w:lastRenderedPageBreak/>
        <w:t>Περιεχόμεν</w:t>
      </w:r>
      <w:proofErr w:type="spellEnd"/>
      <w:r>
        <w:rPr>
          <w:b/>
          <w:bCs/>
          <w:color w:val="1D2B44"/>
          <w:sz w:val="32"/>
          <w:szCs w:val="32"/>
        </w:rPr>
        <w:t>α</w:t>
      </w:r>
    </w:p>
    <w:sdt>
      <w:sdtPr>
        <w:id w:val="1884366956"/>
        <w:docPartObj>
          <w:docPartGallery w:val="Table of Contents"/>
          <w:docPartUnique/>
        </w:docPartObj>
      </w:sdtPr>
      <w:sdtContent>
        <w:p w14:paraId="5FC4E71F" w14:textId="031ED5D1" w:rsidR="000B7AA5" w:rsidRDefault="001F059D">
          <w:pPr>
            <w:pStyle w:val="13"/>
            <w:tabs>
              <w:tab w:val="right" w:leader="dot" w:pos="9062"/>
            </w:tabs>
            <w:rPr>
              <w:rFonts w:asciiTheme="minorHAnsi" w:eastAsiaTheme="minorEastAsia" w:hAnsiTheme="minorHAnsi" w:cstheme="minorBidi"/>
              <w:noProof/>
              <w:kern w:val="2"/>
              <w:sz w:val="24"/>
              <w:szCs w:val="24"/>
              <w:lang w:val="el-GR"/>
              <w14:ligatures w14:val="standardContextual"/>
            </w:rPr>
          </w:pPr>
          <w:r>
            <w:fldChar w:fldCharType="begin"/>
          </w:r>
          <w:r>
            <w:instrText xml:space="preserve"> TOC \h \u \z \t "Heading 1,1,Heading 2,2,"</w:instrText>
          </w:r>
          <w:r>
            <w:fldChar w:fldCharType="separate"/>
          </w:r>
          <w:hyperlink w:anchor="_Toc242134405" w:history="1">
            <w:r w:rsidR="000B7AA5" w:rsidRPr="00902701">
              <w:rPr>
                <w:rStyle w:val="-"/>
                <w:noProof/>
                <w:lang w:val="el-GR"/>
              </w:rPr>
              <w:t>Πρόλογος</w:t>
            </w:r>
            <w:r w:rsidR="000B7AA5">
              <w:rPr>
                <w:noProof/>
                <w:webHidden/>
              </w:rPr>
              <w:tab/>
            </w:r>
            <w:r w:rsidR="000B7AA5">
              <w:rPr>
                <w:noProof/>
                <w:webHidden/>
              </w:rPr>
              <w:fldChar w:fldCharType="begin"/>
            </w:r>
            <w:r w:rsidR="000B7AA5">
              <w:rPr>
                <w:noProof/>
                <w:webHidden/>
              </w:rPr>
              <w:instrText xml:space="preserve"> PAGEREF _Toc242134405 \h </w:instrText>
            </w:r>
            <w:r w:rsidR="000B7AA5">
              <w:rPr>
                <w:noProof/>
                <w:webHidden/>
              </w:rPr>
            </w:r>
            <w:r w:rsidR="000B7AA5">
              <w:rPr>
                <w:noProof/>
                <w:webHidden/>
              </w:rPr>
              <w:fldChar w:fldCharType="separate"/>
            </w:r>
            <w:r w:rsidR="004A674C">
              <w:rPr>
                <w:noProof/>
                <w:webHidden/>
              </w:rPr>
              <w:t>5</w:t>
            </w:r>
            <w:r w:rsidR="000B7AA5">
              <w:rPr>
                <w:noProof/>
                <w:webHidden/>
              </w:rPr>
              <w:fldChar w:fldCharType="end"/>
            </w:r>
          </w:hyperlink>
        </w:p>
        <w:p w14:paraId="1FE376B1" w14:textId="71248A33" w:rsidR="000B7AA5" w:rsidRDefault="000B7AA5">
          <w:pPr>
            <w:pStyle w:val="13"/>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06" w:history="1">
            <w:r w:rsidRPr="00902701">
              <w:rPr>
                <w:rStyle w:val="-"/>
                <w:noProof/>
                <w:lang w:val="el-GR"/>
              </w:rPr>
              <w:t>Κατάλογος αρκτικόλεξων</w:t>
            </w:r>
            <w:r>
              <w:rPr>
                <w:noProof/>
                <w:webHidden/>
              </w:rPr>
              <w:tab/>
            </w:r>
            <w:r>
              <w:rPr>
                <w:noProof/>
                <w:webHidden/>
              </w:rPr>
              <w:fldChar w:fldCharType="begin"/>
            </w:r>
            <w:r>
              <w:rPr>
                <w:noProof/>
                <w:webHidden/>
              </w:rPr>
              <w:instrText xml:space="preserve"> PAGEREF _Toc242134406 \h </w:instrText>
            </w:r>
            <w:r>
              <w:rPr>
                <w:noProof/>
                <w:webHidden/>
              </w:rPr>
            </w:r>
            <w:r>
              <w:rPr>
                <w:noProof/>
                <w:webHidden/>
              </w:rPr>
              <w:fldChar w:fldCharType="separate"/>
            </w:r>
            <w:r w:rsidR="004A674C">
              <w:rPr>
                <w:noProof/>
                <w:webHidden/>
              </w:rPr>
              <w:t>8</w:t>
            </w:r>
            <w:r>
              <w:rPr>
                <w:noProof/>
                <w:webHidden/>
              </w:rPr>
              <w:fldChar w:fldCharType="end"/>
            </w:r>
          </w:hyperlink>
        </w:p>
        <w:p w14:paraId="744D2363" w14:textId="42E6FB7B" w:rsidR="000B7AA5" w:rsidRDefault="000B7AA5">
          <w:pPr>
            <w:pStyle w:val="13"/>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07" w:history="1">
            <w:r w:rsidRPr="00902701">
              <w:rPr>
                <w:rStyle w:val="-"/>
                <w:noProof/>
                <w:lang w:val="el-GR"/>
              </w:rPr>
              <w:t>1. Ταυτότητα της Έρευνας</w:t>
            </w:r>
            <w:r>
              <w:rPr>
                <w:noProof/>
                <w:webHidden/>
              </w:rPr>
              <w:tab/>
            </w:r>
            <w:r>
              <w:rPr>
                <w:noProof/>
                <w:webHidden/>
              </w:rPr>
              <w:fldChar w:fldCharType="begin"/>
            </w:r>
            <w:r>
              <w:rPr>
                <w:noProof/>
                <w:webHidden/>
              </w:rPr>
              <w:instrText xml:space="preserve"> PAGEREF _Toc242134407 \h </w:instrText>
            </w:r>
            <w:r>
              <w:rPr>
                <w:noProof/>
                <w:webHidden/>
              </w:rPr>
            </w:r>
            <w:r>
              <w:rPr>
                <w:noProof/>
                <w:webHidden/>
              </w:rPr>
              <w:fldChar w:fldCharType="separate"/>
            </w:r>
            <w:r w:rsidR="004A674C">
              <w:rPr>
                <w:noProof/>
                <w:webHidden/>
              </w:rPr>
              <w:t>11</w:t>
            </w:r>
            <w:r>
              <w:rPr>
                <w:noProof/>
                <w:webHidden/>
              </w:rPr>
              <w:fldChar w:fldCharType="end"/>
            </w:r>
          </w:hyperlink>
        </w:p>
        <w:p w14:paraId="4E538AEB" w14:textId="6D064ACA"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08" w:history="1">
            <w:r w:rsidRPr="00902701">
              <w:rPr>
                <w:rStyle w:val="-"/>
                <w:noProof/>
                <w:lang w:val="el-GR"/>
              </w:rPr>
              <w:t>1.1 Το ερευνητικό έργο</w:t>
            </w:r>
            <w:r>
              <w:rPr>
                <w:noProof/>
                <w:webHidden/>
              </w:rPr>
              <w:tab/>
            </w:r>
            <w:r>
              <w:rPr>
                <w:noProof/>
                <w:webHidden/>
              </w:rPr>
              <w:fldChar w:fldCharType="begin"/>
            </w:r>
            <w:r>
              <w:rPr>
                <w:noProof/>
                <w:webHidden/>
              </w:rPr>
              <w:instrText xml:space="preserve"> PAGEREF _Toc242134408 \h </w:instrText>
            </w:r>
            <w:r>
              <w:rPr>
                <w:noProof/>
                <w:webHidden/>
              </w:rPr>
            </w:r>
            <w:r>
              <w:rPr>
                <w:noProof/>
                <w:webHidden/>
              </w:rPr>
              <w:fldChar w:fldCharType="separate"/>
            </w:r>
            <w:r w:rsidR="004A674C">
              <w:rPr>
                <w:noProof/>
                <w:webHidden/>
              </w:rPr>
              <w:t>11</w:t>
            </w:r>
            <w:r>
              <w:rPr>
                <w:noProof/>
                <w:webHidden/>
              </w:rPr>
              <w:fldChar w:fldCharType="end"/>
            </w:r>
          </w:hyperlink>
        </w:p>
        <w:p w14:paraId="7605403F" w14:textId="59B1626A"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09" w:history="1">
            <w:r w:rsidRPr="00902701">
              <w:rPr>
                <w:rStyle w:val="-"/>
                <w:noProof/>
                <w:lang w:val="el-GR"/>
              </w:rPr>
              <w:t>1.2 Η αναγκαιότητα της έρευνας</w:t>
            </w:r>
            <w:r>
              <w:rPr>
                <w:noProof/>
                <w:webHidden/>
              </w:rPr>
              <w:tab/>
            </w:r>
            <w:r>
              <w:rPr>
                <w:noProof/>
                <w:webHidden/>
              </w:rPr>
              <w:fldChar w:fldCharType="begin"/>
            </w:r>
            <w:r>
              <w:rPr>
                <w:noProof/>
                <w:webHidden/>
              </w:rPr>
              <w:instrText xml:space="preserve"> PAGEREF _Toc242134409 \h </w:instrText>
            </w:r>
            <w:r>
              <w:rPr>
                <w:noProof/>
                <w:webHidden/>
              </w:rPr>
            </w:r>
            <w:r>
              <w:rPr>
                <w:noProof/>
                <w:webHidden/>
              </w:rPr>
              <w:fldChar w:fldCharType="separate"/>
            </w:r>
            <w:r w:rsidR="004A674C">
              <w:rPr>
                <w:noProof/>
                <w:webHidden/>
              </w:rPr>
              <w:t>11</w:t>
            </w:r>
            <w:r>
              <w:rPr>
                <w:noProof/>
                <w:webHidden/>
              </w:rPr>
              <w:fldChar w:fldCharType="end"/>
            </w:r>
          </w:hyperlink>
        </w:p>
        <w:p w14:paraId="427E99C9" w14:textId="39FDEFE4"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10" w:history="1">
            <w:r w:rsidRPr="00902701">
              <w:rPr>
                <w:rStyle w:val="-"/>
                <w:noProof/>
                <w:lang w:val="el-GR"/>
              </w:rPr>
              <w:t>1.3 Σκοπός και στόχοι</w:t>
            </w:r>
            <w:r>
              <w:rPr>
                <w:noProof/>
                <w:webHidden/>
              </w:rPr>
              <w:tab/>
            </w:r>
            <w:r>
              <w:rPr>
                <w:noProof/>
                <w:webHidden/>
              </w:rPr>
              <w:fldChar w:fldCharType="begin"/>
            </w:r>
            <w:r>
              <w:rPr>
                <w:noProof/>
                <w:webHidden/>
              </w:rPr>
              <w:instrText xml:space="preserve"> PAGEREF _Toc242134410 \h </w:instrText>
            </w:r>
            <w:r>
              <w:rPr>
                <w:noProof/>
                <w:webHidden/>
              </w:rPr>
            </w:r>
            <w:r>
              <w:rPr>
                <w:noProof/>
                <w:webHidden/>
              </w:rPr>
              <w:fldChar w:fldCharType="separate"/>
            </w:r>
            <w:r w:rsidR="004A674C">
              <w:rPr>
                <w:noProof/>
                <w:webHidden/>
              </w:rPr>
              <w:t>12</w:t>
            </w:r>
            <w:r>
              <w:rPr>
                <w:noProof/>
                <w:webHidden/>
              </w:rPr>
              <w:fldChar w:fldCharType="end"/>
            </w:r>
          </w:hyperlink>
        </w:p>
        <w:p w14:paraId="0DDE9940" w14:textId="46760603"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11" w:history="1">
            <w:r w:rsidRPr="00902701">
              <w:rPr>
                <w:rStyle w:val="-"/>
                <w:noProof/>
                <w:lang w:val="el-GR"/>
              </w:rPr>
              <w:t>1.4 Δομή της Επιτελικής Σύνοψης</w:t>
            </w:r>
            <w:r>
              <w:rPr>
                <w:noProof/>
                <w:webHidden/>
              </w:rPr>
              <w:tab/>
            </w:r>
            <w:r>
              <w:rPr>
                <w:noProof/>
                <w:webHidden/>
              </w:rPr>
              <w:fldChar w:fldCharType="begin"/>
            </w:r>
            <w:r>
              <w:rPr>
                <w:noProof/>
                <w:webHidden/>
              </w:rPr>
              <w:instrText xml:space="preserve"> PAGEREF _Toc242134411 \h </w:instrText>
            </w:r>
            <w:r>
              <w:rPr>
                <w:noProof/>
                <w:webHidden/>
              </w:rPr>
            </w:r>
            <w:r>
              <w:rPr>
                <w:noProof/>
                <w:webHidden/>
              </w:rPr>
              <w:fldChar w:fldCharType="separate"/>
            </w:r>
            <w:r w:rsidR="004A674C">
              <w:rPr>
                <w:noProof/>
                <w:webHidden/>
              </w:rPr>
              <w:t>13</w:t>
            </w:r>
            <w:r>
              <w:rPr>
                <w:noProof/>
                <w:webHidden/>
              </w:rPr>
              <w:fldChar w:fldCharType="end"/>
            </w:r>
          </w:hyperlink>
        </w:p>
        <w:p w14:paraId="2FA9EEF0" w14:textId="5706F266" w:rsidR="000B7AA5" w:rsidRDefault="000B7AA5">
          <w:pPr>
            <w:pStyle w:val="13"/>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12" w:history="1">
            <w:r w:rsidRPr="00902701">
              <w:rPr>
                <w:rStyle w:val="-"/>
                <w:noProof/>
                <w:lang w:val="el-GR"/>
              </w:rPr>
              <w:t>2. Θεωρητικό Πλαίσιο: Βιβλιογραφική Ανασκόπηση</w:t>
            </w:r>
            <w:r>
              <w:rPr>
                <w:noProof/>
                <w:webHidden/>
              </w:rPr>
              <w:tab/>
            </w:r>
            <w:r>
              <w:rPr>
                <w:noProof/>
                <w:webHidden/>
              </w:rPr>
              <w:fldChar w:fldCharType="begin"/>
            </w:r>
            <w:r>
              <w:rPr>
                <w:noProof/>
                <w:webHidden/>
              </w:rPr>
              <w:instrText xml:space="preserve"> PAGEREF _Toc242134412 \h </w:instrText>
            </w:r>
            <w:r>
              <w:rPr>
                <w:noProof/>
                <w:webHidden/>
              </w:rPr>
            </w:r>
            <w:r>
              <w:rPr>
                <w:noProof/>
                <w:webHidden/>
              </w:rPr>
              <w:fldChar w:fldCharType="separate"/>
            </w:r>
            <w:r w:rsidR="004A674C">
              <w:rPr>
                <w:noProof/>
                <w:webHidden/>
              </w:rPr>
              <w:t>15</w:t>
            </w:r>
            <w:r>
              <w:rPr>
                <w:noProof/>
                <w:webHidden/>
              </w:rPr>
              <w:fldChar w:fldCharType="end"/>
            </w:r>
          </w:hyperlink>
        </w:p>
        <w:p w14:paraId="254039FE" w14:textId="27A23B8F"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13" w:history="1">
            <w:r w:rsidRPr="00902701">
              <w:rPr>
                <w:rStyle w:val="-"/>
                <w:noProof/>
                <w:lang w:val="el-GR"/>
              </w:rPr>
              <w:t>2.1 Ορισμοί και μορφές βίας κατά των γυναικών</w:t>
            </w:r>
            <w:r>
              <w:rPr>
                <w:noProof/>
                <w:webHidden/>
              </w:rPr>
              <w:tab/>
            </w:r>
            <w:r>
              <w:rPr>
                <w:noProof/>
                <w:webHidden/>
              </w:rPr>
              <w:fldChar w:fldCharType="begin"/>
            </w:r>
            <w:r>
              <w:rPr>
                <w:noProof/>
                <w:webHidden/>
              </w:rPr>
              <w:instrText xml:space="preserve"> PAGEREF _Toc242134413 \h </w:instrText>
            </w:r>
            <w:r>
              <w:rPr>
                <w:noProof/>
                <w:webHidden/>
              </w:rPr>
            </w:r>
            <w:r>
              <w:rPr>
                <w:noProof/>
                <w:webHidden/>
              </w:rPr>
              <w:fldChar w:fldCharType="separate"/>
            </w:r>
            <w:r w:rsidR="004A674C">
              <w:rPr>
                <w:noProof/>
                <w:webHidden/>
              </w:rPr>
              <w:t>15</w:t>
            </w:r>
            <w:r>
              <w:rPr>
                <w:noProof/>
                <w:webHidden/>
              </w:rPr>
              <w:fldChar w:fldCharType="end"/>
            </w:r>
          </w:hyperlink>
        </w:p>
        <w:p w14:paraId="2BFD7FB8" w14:textId="7426EB6D"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14" w:history="1">
            <w:r w:rsidRPr="00902701">
              <w:rPr>
                <w:rStyle w:val="-"/>
                <w:noProof/>
                <w:lang w:val="el-GR"/>
              </w:rPr>
              <w:t>2.2 Η έκταση του φαινομένου</w:t>
            </w:r>
            <w:r>
              <w:rPr>
                <w:noProof/>
                <w:webHidden/>
              </w:rPr>
              <w:tab/>
            </w:r>
            <w:r>
              <w:rPr>
                <w:noProof/>
                <w:webHidden/>
              </w:rPr>
              <w:fldChar w:fldCharType="begin"/>
            </w:r>
            <w:r>
              <w:rPr>
                <w:noProof/>
                <w:webHidden/>
              </w:rPr>
              <w:instrText xml:space="preserve"> PAGEREF _Toc242134414 \h </w:instrText>
            </w:r>
            <w:r>
              <w:rPr>
                <w:noProof/>
                <w:webHidden/>
              </w:rPr>
            </w:r>
            <w:r>
              <w:rPr>
                <w:noProof/>
                <w:webHidden/>
              </w:rPr>
              <w:fldChar w:fldCharType="separate"/>
            </w:r>
            <w:r w:rsidR="004A674C">
              <w:rPr>
                <w:noProof/>
                <w:webHidden/>
              </w:rPr>
              <w:t>17</w:t>
            </w:r>
            <w:r>
              <w:rPr>
                <w:noProof/>
                <w:webHidden/>
              </w:rPr>
              <w:fldChar w:fldCharType="end"/>
            </w:r>
          </w:hyperlink>
        </w:p>
        <w:p w14:paraId="37198365" w14:textId="10096A78"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15" w:history="1">
            <w:r w:rsidRPr="00902701">
              <w:rPr>
                <w:rStyle w:val="-"/>
                <w:noProof/>
                <w:lang w:val="el-GR"/>
              </w:rPr>
              <w:t>2.3 Παράγοντες κινδύνου</w:t>
            </w:r>
            <w:r>
              <w:rPr>
                <w:noProof/>
                <w:webHidden/>
              </w:rPr>
              <w:tab/>
            </w:r>
            <w:r>
              <w:rPr>
                <w:noProof/>
                <w:webHidden/>
              </w:rPr>
              <w:fldChar w:fldCharType="begin"/>
            </w:r>
            <w:r>
              <w:rPr>
                <w:noProof/>
                <w:webHidden/>
              </w:rPr>
              <w:instrText xml:space="preserve"> PAGEREF _Toc242134415 \h </w:instrText>
            </w:r>
            <w:r>
              <w:rPr>
                <w:noProof/>
                <w:webHidden/>
              </w:rPr>
            </w:r>
            <w:r>
              <w:rPr>
                <w:noProof/>
                <w:webHidden/>
              </w:rPr>
              <w:fldChar w:fldCharType="separate"/>
            </w:r>
            <w:r w:rsidR="004A674C">
              <w:rPr>
                <w:noProof/>
                <w:webHidden/>
              </w:rPr>
              <w:t>18</w:t>
            </w:r>
            <w:r>
              <w:rPr>
                <w:noProof/>
                <w:webHidden/>
              </w:rPr>
              <w:fldChar w:fldCharType="end"/>
            </w:r>
          </w:hyperlink>
        </w:p>
        <w:p w14:paraId="68D29374" w14:textId="26C94F33"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16" w:history="1">
            <w:r w:rsidRPr="00902701">
              <w:rPr>
                <w:rStyle w:val="-"/>
                <w:noProof/>
                <w:lang w:val="el-GR"/>
              </w:rPr>
              <w:t>2.4 Θεωρητικές προσεγγίσεις της ενδοοικογενειακής βίας</w:t>
            </w:r>
            <w:r>
              <w:rPr>
                <w:noProof/>
                <w:webHidden/>
              </w:rPr>
              <w:tab/>
            </w:r>
            <w:r>
              <w:rPr>
                <w:noProof/>
                <w:webHidden/>
              </w:rPr>
              <w:fldChar w:fldCharType="begin"/>
            </w:r>
            <w:r>
              <w:rPr>
                <w:noProof/>
                <w:webHidden/>
              </w:rPr>
              <w:instrText xml:space="preserve"> PAGEREF _Toc242134416 \h </w:instrText>
            </w:r>
            <w:r>
              <w:rPr>
                <w:noProof/>
                <w:webHidden/>
              </w:rPr>
            </w:r>
            <w:r>
              <w:rPr>
                <w:noProof/>
                <w:webHidden/>
              </w:rPr>
              <w:fldChar w:fldCharType="separate"/>
            </w:r>
            <w:r w:rsidR="004A674C">
              <w:rPr>
                <w:noProof/>
                <w:webHidden/>
              </w:rPr>
              <w:t>19</w:t>
            </w:r>
            <w:r>
              <w:rPr>
                <w:noProof/>
                <w:webHidden/>
              </w:rPr>
              <w:fldChar w:fldCharType="end"/>
            </w:r>
          </w:hyperlink>
        </w:p>
        <w:p w14:paraId="716FBA34" w14:textId="7F1EA647"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17" w:history="1">
            <w:r w:rsidRPr="00902701">
              <w:rPr>
                <w:rStyle w:val="-"/>
                <w:noProof/>
                <w:lang w:val="el-GR"/>
              </w:rPr>
              <w:t>2.5 Επιπτώσεις στη σωματική και ψυχική υγεία των γυναικών</w:t>
            </w:r>
            <w:r>
              <w:rPr>
                <w:noProof/>
                <w:webHidden/>
              </w:rPr>
              <w:tab/>
            </w:r>
            <w:r>
              <w:rPr>
                <w:noProof/>
                <w:webHidden/>
              </w:rPr>
              <w:fldChar w:fldCharType="begin"/>
            </w:r>
            <w:r>
              <w:rPr>
                <w:noProof/>
                <w:webHidden/>
              </w:rPr>
              <w:instrText xml:space="preserve"> PAGEREF _Toc242134417 \h </w:instrText>
            </w:r>
            <w:r>
              <w:rPr>
                <w:noProof/>
                <w:webHidden/>
              </w:rPr>
            </w:r>
            <w:r>
              <w:rPr>
                <w:noProof/>
                <w:webHidden/>
              </w:rPr>
              <w:fldChar w:fldCharType="separate"/>
            </w:r>
            <w:r w:rsidR="004A674C">
              <w:rPr>
                <w:noProof/>
                <w:webHidden/>
              </w:rPr>
              <w:t>23</w:t>
            </w:r>
            <w:r>
              <w:rPr>
                <w:noProof/>
                <w:webHidden/>
              </w:rPr>
              <w:fldChar w:fldCharType="end"/>
            </w:r>
          </w:hyperlink>
        </w:p>
        <w:p w14:paraId="664760C3" w14:textId="3BAB5737"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18" w:history="1">
            <w:r w:rsidRPr="00902701">
              <w:rPr>
                <w:rStyle w:val="-"/>
                <w:noProof/>
                <w:lang w:val="el-GR"/>
              </w:rPr>
              <w:t>2.6 Επιπτώσεις στα παιδιά και στη γονεϊκή λειτουργία</w:t>
            </w:r>
            <w:r>
              <w:rPr>
                <w:noProof/>
                <w:webHidden/>
              </w:rPr>
              <w:tab/>
            </w:r>
            <w:r>
              <w:rPr>
                <w:noProof/>
                <w:webHidden/>
              </w:rPr>
              <w:fldChar w:fldCharType="begin"/>
            </w:r>
            <w:r>
              <w:rPr>
                <w:noProof/>
                <w:webHidden/>
              </w:rPr>
              <w:instrText xml:space="preserve"> PAGEREF _Toc242134418 \h </w:instrText>
            </w:r>
            <w:r>
              <w:rPr>
                <w:noProof/>
                <w:webHidden/>
              </w:rPr>
            </w:r>
            <w:r>
              <w:rPr>
                <w:noProof/>
                <w:webHidden/>
              </w:rPr>
              <w:fldChar w:fldCharType="separate"/>
            </w:r>
            <w:r w:rsidR="004A674C">
              <w:rPr>
                <w:noProof/>
                <w:webHidden/>
              </w:rPr>
              <w:t>25</w:t>
            </w:r>
            <w:r>
              <w:rPr>
                <w:noProof/>
                <w:webHidden/>
              </w:rPr>
              <w:fldChar w:fldCharType="end"/>
            </w:r>
          </w:hyperlink>
        </w:p>
        <w:p w14:paraId="5B580D0D" w14:textId="517E3C70"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19" w:history="1">
            <w:r w:rsidRPr="00902701">
              <w:rPr>
                <w:rStyle w:val="-"/>
                <w:noProof/>
                <w:lang w:val="el-GR"/>
              </w:rPr>
              <w:t>2.7 Διαγενεακή μετάδοση της βίας</w:t>
            </w:r>
            <w:r>
              <w:rPr>
                <w:noProof/>
                <w:webHidden/>
              </w:rPr>
              <w:tab/>
            </w:r>
            <w:r>
              <w:rPr>
                <w:noProof/>
                <w:webHidden/>
              </w:rPr>
              <w:fldChar w:fldCharType="begin"/>
            </w:r>
            <w:r>
              <w:rPr>
                <w:noProof/>
                <w:webHidden/>
              </w:rPr>
              <w:instrText xml:space="preserve"> PAGEREF _Toc242134419 \h </w:instrText>
            </w:r>
            <w:r>
              <w:rPr>
                <w:noProof/>
                <w:webHidden/>
              </w:rPr>
            </w:r>
            <w:r>
              <w:rPr>
                <w:noProof/>
                <w:webHidden/>
              </w:rPr>
              <w:fldChar w:fldCharType="separate"/>
            </w:r>
            <w:r w:rsidR="004A674C">
              <w:rPr>
                <w:noProof/>
                <w:webHidden/>
              </w:rPr>
              <w:t>25</w:t>
            </w:r>
            <w:r>
              <w:rPr>
                <w:noProof/>
                <w:webHidden/>
              </w:rPr>
              <w:fldChar w:fldCharType="end"/>
            </w:r>
          </w:hyperlink>
        </w:p>
        <w:p w14:paraId="5BF9A15C" w14:textId="50DDBA3C"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20" w:history="1">
            <w:r w:rsidRPr="00902701">
              <w:rPr>
                <w:rStyle w:val="-"/>
                <w:noProof/>
                <w:lang w:val="el-GR"/>
              </w:rPr>
              <w:t>2.8 Διαγενεακή μετάδοση του τραύματος</w:t>
            </w:r>
            <w:r>
              <w:rPr>
                <w:noProof/>
                <w:webHidden/>
              </w:rPr>
              <w:tab/>
            </w:r>
            <w:r>
              <w:rPr>
                <w:noProof/>
                <w:webHidden/>
              </w:rPr>
              <w:fldChar w:fldCharType="begin"/>
            </w:r>
            <w:r>
              <w:rPr>
                <w:noProof/>
                <w:webHidden/>
              </w:rPr>
              <w:instrText xml:space="preserve"> PAGEREF _Toc242134420 \h </w:instrText>
            </w:r>
            <w:r>
              <w:rPr>
                <w:noProof/>
                <w:webHidden/>
              </w:rPr>
            </w:r>
            <w:r>
              <w:rPr>
                <w:noProof/>
                <w:webHidden/>
              </w:rPr>
              <w:fldChar w:fldCharType="separate"/>
            </w:r>
            <w:r w:rsidR="004A674C">
              <w:rPr>
                <w:noProof/>
                <w:webHidden/>
              </w:rPr>
              <w:t>30</w:t>
            </w:r>
            <w:r>
              <w:rPr>
                <w:noProof/>
                <w:webHidden/>
              </w:rPr>
              <w:fldChar w:fldCharType="end"/>
            </w:r>
          </w:hyperlink>
        </w:p>
        <w:p w14:paraId="12B02702" w14:textId="2883CB93"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21" w:history="1">
            <w:r w:rsidRPr="00902701">
              <w:rPr>
                <w:rStyle w:val="-"/>
                <w:noProof/>
                <w:lang w:val="el-GR"/>
              </w:rPr>
              <w:t>2.9 Μετατραυματική ανάπτυξη σε επιζώσες ενδοοικογενειακής βίας</w:t>
            </w:r>
            <w:r>
              <w:rPr>
                <w:noProof/>
                <w:webHidden/>
              </w:rPr>
              <w:tab/>
            </w:r>
            <w:r>
              <w:rPr>
                <w:noProof/>
                <w:webHidden/>
              </w:rPr>
              <w:fldChar w:fldCharType="begin"/>
            </w:r>
            <w:r>
              <w:rPr>
                <w:noProof/>
                <w:webHidden/>
              </w:rPr>
              <w:instrText xml:space="preserve"> PAGEREF _Toc242134421 \h </w:instrText>
            </w:r>
            <w:r>
              <w:rPr>
                <w:noProof/>
                <w:webHidden/>
              </w:rPr>
            </w:r>
            <w:r>
              <w:rPr>
                <w:noProof/>
                <w:webHidden/>
              </w:rPr>
              <w:fldChar w:fldCharType="separate"/>
            </w:r>
            <w:r w:rsidR="004A674C">
              <w:rPr>
                <w:noProof/>
                <w:webHidden/>
              </w:rPr>
              <w:t>32</w:t>
            </w:r>
            <w:r>
              <w:rPr>
                <w:noProof/>
                <w:webHidden/>
              </w:rPr>
              <w:fldChar w:fldCharType="end"/>
            </w:r>
          </w:hyperlink>
        </w:p>
        <w:p w14:paraId="0AD53060" w14:textId="345089E8" w:rsidR="000B7AA5" w:rsidRDefault="000B7AA5">
          <w:pPr>
            <w:pStyle w:val="13"/>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22" w:history="1">
            <w:r w:rsidRPr="00902701">
              <w:rPr>
                <w:rStyle w:val="-"/>
                <w:noProof/>
                <w:lang w:val="el-GR"/>
              </w:rPr>
              <w:t>3. Θεσμικό Πλαίσιο: Ελληνικό, Ευρωπαϊκό, Διεθνές</w:t>
            </w:r>
            <w:r>
              <w:rPr>
                <w:noProof/>
                <w:webHidden/>
              </w:rPr>
              <w:tab/>
            </w:r>
            <w:r>
              <w:rPr>
                <w:noProof/>
                <w:webHidden/>
              </w:rPr>
              <w:fldChar w:fldCharType="begin"/>
            </w:r>
            <w:r>
              <w:rPr>
                <w:noProof/>
                <w:webHidden/>
              </w:rPr>
              <w:instrText xml:space="preserve"> PAGEREF _Toc242134422 \h </w:instrText>
            </w:r>
            <w:r>
              <w:rPr>
                <w:noProof/>
                <w:webHidden/>
              </w:rPr>
            </w:r>
            <w:r>
              <w:rPr>
                <w:noProof/>
                <w:webHidden/>
              </w:rPr>
              <w:fldChar w:fldCharType="separate"/>
            </w:r>
            <w:r w:rsidR="004A674C">
              <w:rPr>
                <w:noProof/>
                <w:webHidden/>
              </w:rPr>
              <w:t>37</w:t>
            </w:r>
            <w:r>
              <w:rPr>
                <w:noProof/>
                <w:webHidden/>
              </w:rPr>
              <w:fldChar w:fldCharType="end"/>
            </w:r>
          </w:hyperlink>
        </w:p>
        <w:p w14:paraId="2FAD92A4" w14:textId="489A9751"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23" w:history="1">
            <w:r w:rsidRPr="00902701">
              <w:rPr>
                <w:rStyle w:val="-"/>
                <w:noProof/>
                <w:lang w:val="el-GR"/>
              </w:rPr>
              <w:t>3.1 Το ελληνικό θεσμικό πλαίσιο</w:t>
            </w:r>
            <w:r>
              <w:rPr>
                <w:noProof/>
                <w:webHidden/>
              </w:rPr>
              <w:tab/>
            </w:r>
            <w:r>
              <w:rPr>
                <w:noProof/>
                <w:webHidden/>
              </w:rPr>
              <w:fldChar w:fldCharType="begin"/>
            </w:r>
            <w:r>
              <w:rPr>
                <w:noProof/>
                <w:webHidden/>
              </w:rPr>
              <w:instrText xml:space="preserve"> PAGEREF _Toc242134423 \h </w:instrText>
            </w:r>
            <w:r>
              <w:rPr>
                <w:noProof/>
                <w:webHidden/>
              </w:rPr>
            </w:r>
            <w:r>
              <w:rPr>
                <w:noProof/>
                <w:webHidden/>
              </w:rPr>
              <w:fldChar w:fldCharType="separate"/>
            </w:r>
            <w:r w:rsidR="004A674C">
              <w:rPr>
                <w:noProof/>
                <w:webHidden/>
              </w:rPr>
              <w:t>37</w:t>
            </w:r>
            <w:r>
              <w:rPr>
                <w:noProof/>
                <w:webHidden/>
              </w:rPr>
              <w:fldChar w:fldCharType="end"/>
            </w:r>
          </w:hyperlink>
        </w:p>
        <w:p w14:paraId="30DF6729" w14:textId="76AB2251"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24" w:history="1">
            <w:r w:rsidRPr="00902701">
              <w:rPr>
                <w:rStyle w:val="-"/>
                <w:noProof/>
                <w:lang w:val="el-GR"/>
              </w:rPr>
              <w:t>3.2 Το ευρωπαϊκό θεσμικό πλαίσιο</w:t>
            </w:r>
            <w:r>
              <w:rPr>
                <w:noProof/>
                <w:webHidden/>
              </w:rPr>
              <w:tab/>
            </w:r>
            <w:r>
              <w:rPr>
                <w:noProof/>
                <w:webHidden/>
              </w:rPr>
              <w:fldChar w:fldCharType="begin"/>
            </w:r>
            <w:r>
              <w:rPr>
                <w:noProof/>
                <w:webHidden/>
              </w:rPr>
              <w:instrText xml:space="preserve"> PAGEREF _Toc242134424 \h </w:instrText>
            </w:r>
            <w:r>
              <w:rPr>
                <w:noProof/>
                <w:webHidden/>
              </w:rPr>
            </w:r>
            <w:r>
              <w:rPr>
                <w:noProof/>
                <w:webHidden/>
              </w:rPr>
              <w:fldChar w:fldCharType="separate"/>
            </w:r>
            <w:r w:rsidR="004A674C">
              <w:rPr>
                <w:noProof/>
                <w:webHidden/>
              </w:rPr>
              <w:t>38</w:t>
            </w:r>
            <w:r>
              <w:rPr>
                <w:noProof/>
                <w:webHidden/>
              </w:rPr>
              <w:fldChar w:fldCharType="end"/>
            </w:r>
          </w:hyperlink>
        </w:p>
        <w:p w14:paraId="0585519C" w14:textId="10FBDAB9"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25" w:history="1">
            <w:r w:rsidRPr="00902701">
              <w:rPr>
                <w:rStyle w:val="-"/>
                <w:noProof/>
                <w:lang w:val="el-GR"/>
              </w:rPr>
              <w:t>3.3 Το διεθνές θεσμικό πλαίσιο</w:t>
            </w:r>
            <w:r>
              <w:rPr>
                <w:noProof/>
                <w:webHidden/>
              </w:rPr>
              <w:tab/>
            </w:r>
            <w:r>
              <w:rPr>
                <w:noProof/>
                <w:webHidden/>
              </w:rPr>
              <w:fldChar w:fldCharType="begin"/>
            </w:r>
            <w:r>
              <w:rPr>
                <w:noProof/>
                <w:webHidden/>
              </w:rPr>
              <w:instrText xml:space="preserve"> PAGEREF _Toc242134425 \h </w:instrText>
            </w:r>
            <w:r>
              <w:rPr>
                <w:noProof/>
                <w:webHidden/>
              </w:rPr>
            </w:r>
            <w:r>
              <w:rPr>
                <w:noProof/>
                <w:webHidden/>
              </w:rPr>
              <w:fldChar w:fldCharType="separate"/>
            </w:r>
            <w:r w:rsidR="004A674C">
              <w:rPr>
                <w:noProof/>
                <w:webHidden/>
              </w:rPr>
              <w:t>38</w:t>
            </w:r>
            <w:r>
              <w:rPr>
                <w:noProof/>
                <w:webHidden/>
              </w:rPr>
              <w:fldChar w:fldCharType="end"/>
            </w:r>
          </w:hyperlink>
        </w:p>
        <w:p w14:paraId="66988C9C" w14:textId="63102272"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26" w:history="1">
            <w:r w:rsidRPr="00902701">
              <w:rPr>
                <w:rStyle w:val="-"/>
                <w:noProof/>
                <w:lang w:val="el-GR"/>
              </w:rPr>
              <w:t>3.4 Η σύνδεση του θεσμικού πλαισίου με την έρευνα</w:t>
            </w:r>
            <w:r>
              <w:rPr>
                <w:noProof/>
                <w:webHidden/>
              </w:rPr>
              <w:tab/>
            </w:r>
            <w:r>
              <w:rPr>
                <w:noProof/>
                <w:webHidden/>
              </w:rPr>
              <w:fldChar w:fldCharType="begin"/>
            </w:r>
            <w:r>
              <w:rPr>
                <w:noProof/>
                <w:webHidden/>
              </w:rPr>
              <w:instrText xml:space="preserve"> PAGEREF _Toc242134426 \h </w:instrText>
            </w:r>
            <w:r>
              <w:rPr>
                <w:noProof/>
                <w:webHidden/>
              </w:rPr>
            </w:r>
            <w:r>
              <w:rPr>
                <w:noProof/>
                <w:webHidden/>
              </w:rPr>
              <w:fldChar w:fldCharType="separate"/>
            </w:r>
            <w:r w:rsidR="004A674C">
              <w:rPr>
                <w:noProof/>
                <w:webHidden/>
              </w:rPr>
              <w:t>39</w:t>
            </w:r>
            <w:r>
              <w:rPr>
                <w:noProof/>
                <w:webHidden/>
              </w:rPr>
              <w:fldChar w:fldCharType="end"/>
            </w:r>
          </w:hyperlink>
        </w:p>
        <w:p w14:paraId="05572CB2" w14:textId="76CA620C" w:rsidR="000B7AA5" w:rsidRDefault="000B7AA5">
          <w:pPr>
            <w:pStyle w:val="13"/>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27" w:history="1">
            <w:r w:rsidRPr="00902701">
              <w:rPr>
                <w:rStyle w:val="-"/>
                <w:noProof/>
                <w:lang w:val="el-GR"/>
              </w:rPr>
              <w:t>4. Καλές Πρακτικές και Προγράμματα Παρέμβασης</w:t>
            </w:r>
            <w:r>
              <w:rPr>
                <w:noProof/>
                <w:webHidden/>
              </w:rPr>
              <w:tab/>
            </w:r>
            <w:r>
              <w:rPr>
                <w:noProof/>
                <w:webHidden/>
              </w:rPr>
              <w:fldChar w:fldCharType="begin"/>
            </w:r>
            <w:r>
              <w:rPr>
                <w:noProof/>
                <w:webHidden/>
              </w:rPr>
              <w:instrText xml:space="preserve"> PAGEREF _Toc242134427 \h </w:instrText>
            </w:r>
            <w:r>
              <w:rPr>
                <w:noProof/>
                <w:webHidden/>
              </w:rPr>
            </w:r>
            <w:r>
              <w:rPr>
                <w:noProof/>
                <w:webHidden/>
              </w:rPr>
              <w:fldChar w:fldCharType="separate"/>
            </w:r>
            <w:r w:rsidR="004A674C">
              <w:rPr>
                <w:noProof/>
                <w:webHidden/>
              </w:rPr>
              <w:t>40</w:t>
            </w:r>
            <w:r>
              <w:rPr>
                <w:noProof/>
                <w:webHidden/>
              </w:rPr>
              <w:fldChar w:fldCharType="end"/>
            </w:r>
          </w:hyperlink>
        </w:p>
        <w:p w14:paraId="7C5A4AFA" w14:textId="6E257E67"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28" w:history="1">
            <w:r w:rsidRPr="00902701">
              <w:rPr>
                <w:rStyle w:val="-"/>
                <w:noProof/>
                <w:lang w:val="el-GR"/>
              </w:rPr>
              <w:t>4.1 Θεμελιώδεις αρχές</w:t>
            </w:r>
            <w:r>
              <w:rPr>
                <w:noProof/>
                <w:webHidden/>
              </w:rPr>
              <w:tab/>
            </w:r>
            <w:r>
              <w:rPr>
                <w:noProof/>
                <w:webHidden/>
              </w:rPr>
              <w:fldChar w:fldCharType="begin"/>
            </w:r>
            <w:r>
              <w:rPr>
                <w:noProof/>
                <w:webHidden/>
              </w:rPr>
              <w:instrText xml:space="preserve"> PAGEREF _Toc242134428 \h </w:instrText>
            </w:r>
            <w:r>
              <w:rPr>
                <w:noProof/>
                <w:webHidden/>
              </w:rPr>
            </w:r>
            <w:r>
              <w:rPr>
                <w:noProof/>
                <w:webHidden/>
              </w:rPr>
              <w:fldChar w:fldCharType="separate"/>
            </w:r>
            <w:r w:rsidR="004A674C">
              <w:rPr>
                <w:noProof/>
                <w:webHidden/>
              </w:rPr>
              <w:t>40</w:t>
            </w:r>
            <w:r>
              <w:rPr>
                <w:noProof/>
                <w:webHidden/>
              </w:rPr>
              <w:fldChar w:fldCharType="end"/>
            </w:r>
          </w:hyperlink>
        </w:p>
        <w:p w14:paraId="2EFB605E" w14:textId="570D163B"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29" w:history="1">
            <w:r w:rsidRPr="00902701">
              <w:rPr>
                <w:rStyle w:val="-"/>
                <w:noProof/>
                <w:lang w:val="el-GR"/>
              </w:rPr>
              <w:t>4.2 Θεραπευτικό συνεχές για τις επιζώσες, τα παιδιά και τη σχέση τους</w:t>
            </w:r>
            <w:r>
              <w:rPr>
                <w:noProof/>
                <w:webHidden/>
              </w:rPr>
              <w:tab/>
            </w:r>
            <w:r>
              <w:rPr>
                <w:noProof/>
                <w:webHidden/>
              </w:rPr>
              <w:fldChar w:fldCharType="begin"/>
            </w:r>
            <w:r>
              <w:rPr>
                <w:noProof/>
                <w:webHidden/>
              </w:rPr>
              <w:instrText xml:space="preserve"> PAGEREF _Toc242134429 \h </w:instrText>
            </w:r>
            <w:r>
              <w:rPr>
                <w:noProof/>
                <w:webHidden/>
              </w:rPr>
            </w:r>
            <w:r>
              <w:rPr>
                <w:noProof/>
                <w:webHidden/>
              </w:rPr>
              <w:fldChar w:fldCharType="separate"/>
            </w:r>
            <w:r w:rsidR="004A674C">
              <w:rPr>
                <w:noProof/>
                <w:webHidden/>
              </w:rPr>
              <w:t>40</w:t>
            </w:r>
            <w:r>
              <w:rPr>
                <w:noProof/>
                <w:webHidden/>
              </w:rPr>
              <w:fldChar w:fldCharType="end"/>
            </w:r>
          </w:hyperlink>
        </w:p>
        <w:p w14:paraId="7CACC040" w14:textId="18C56AF4"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30" w:history="1">
            <w:r w:rsidRPr="00902701">
              <w:rPr>
                <w:rStyle w:val="-"/>
                <w:noProof/>
                <w:lang w:val="el-GR"/>
              </w:rPr>
              <w:t>4.3 Ταυτόχρονη αντιμετώπιση της βίας κατά των γυναικών και κατά των παιδιών</w:t>
            </w:r>
            <w:r>
              <w:rPr>
                <w:noProof/>
                <w:webHidden/>
              </w:rPr>
              <w:tab/>
            </w:r>
            <w:r>
              <w:rPr>
                <w:noProof/>
                <w:webHidden/>
              </w:rPr>
              <w:fldChar w:fldCharType="begin"/>
            </w:r>
            <w:r>
              <w:rPr>
                <w:noProof/>
                <w:webHidden/>
              </w:rPr>
              <w:instrText xml:space="preserve"> PAGEREF _Toc242134430 \h </w:instrText>
            </w:r>
            <w:r>
              <w:rPr>
                <w:noProof/>
                <w:webHidden/>
              </w:rPr>
            </w:r>
            <w:r>
              <w:rPr>
                <w:noProof/>
                <w:webHidden/>
              </w:rPr>
              <w:fldChar w:fldCharType="separate"/>
            </w:r>
            <w:r w:rsidR="004A674C">
              <w:rPr>
                <w:noProof/>
                <w:webHidden/>
              </w:rPr>
              <w:t>44</w:t>
            </w:r>
            <w:r>
              <w:rPr>
                <w:noProof/>
                <w:webHidden/>
              </w:rPr>
              <w:fldChar w:fldCharType="end"/>
            </w:r>
          </w:hyperlink>
        </w:p>
        <w:p w14:paraId="0A5849BE" w14:textId="18AF6C44"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31" w:history="1">
            <w:r w:rsidRPr="00902701">
              <w:rPr>
                <w:rStyle w:val="-"/>
                <w:noProof/>
                <w:lang w:val="el-GR"/>
              </w:rPr>
              <w:t>4.4 Παρεμβάσεις προς τους δράστες</w:t>
            </w:r>
            <w:r>
              <w:rPr>
                <w:noProof/>
                <w:webHidden/>
              </w:rPr>
              <w:tab/>
            </w:r>
            <w:r>
              <w:rPr>
                <w:noProof/>
                <w:webHidden/>
              </w:rPr>
              <w:fldChar w:fldCharType="begin"/>
            </w:r>
            <w:r>
              <w:rPr>
                <w:noProof/>
                <w:webHidden/>
              </w:rPr>
              <w:instrText xml:space="preserve"> PAGEREF _Toc242134431 \h </w:instrText>
            </w:r>
            <w:r>
              <w:rPr>
                <w:noProof/>
                <w:webHidden/>
              </w:rPr>
            </w:r>
            <w:r>
              <w:rPr>
                <w:noProof/>
                <w:webHidden/>
              </w:rPr>
              <w:fldChar w:fldCharType="separate"/>
            </w:r>
            <w:r w:rsidR="004A674C">
              <w:rPr>
                <w:noProof/>
                <w:webHidden/>
              </w:rPr>
              <w:t>44</w:t>
            </w:r>
            <w:r>
              <w:rPr>
                <w:noProof/>
                <w:webHidden/>
              </w:rPr>
              <w:fldChar w:fldCharType="end"/>
            </w:r>
          </w:hyperlink>
        </w:p>
        <w:p w14:paraId="7811C67A" w14:textId="51DC6910"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32" w:history="1">
            <w:r w:rsidRPr="00902701">
              <w:rPr>
                <w:rStyle w:val="-"/>
                <w:noProof/>
                <w:lang w:val="el-GR"/>
              </w:rPr>
              <w:t>4.5 Κοινωνική και οικονομική αποκατάσταση</w:t>
            </w:r>
            <w:r>
              <w:rPr>
                <w:noProof/>
                <w:webHidden/>
              </w:rPr>
              <w:tab/>
            </w:r>
            <w:r>
              <w:rPr>
                <w:noProof/>
                <w:webHidden/>
              </w:rPr>
              <w:fldChar w:fldCharType="begin"/>
            </w:r>
            <w:r>
              <w:rPr>
                <w:noProof/>
                <w:webHidden/>
              </w:rPr>
              <w:instrText xml:space="preserve"> PAGEREF _Toc242134432 \h </w:instrText>
            </w:r>
            <w:r>
              <w:rPr>
                <w:noProof/>
                <w:webHidden/>
              </w:rPr>
            </w:r>
            <w:r>
              <w:rPr>
                <w:noProof/>
                <w:webHidden/>
              </w:rPr>
              <w:fldChar w:fldCharType="separate"/>
            </w:r>
            <w:r w:rsidR="004A674C">
              <w:rPr>
                <w:noProof/>
                <w:webHidden/>
              </w:rPr>
              <w:t>44</w:t>
            </w:r>
            <w:r>
              <w:rPr>
                <w:noProof/>
                <w:webHidden/>
              </w:rPr>
              <w:fldChar w:fldCharType="end"/>
            </w:r>
          </w:hyperlink>
        </w:p>
        <w:p w14:paraId="5CF828F6" w14:textId="092D1163"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33" w:history="1">
            <w:r w:rsidRPr="00902701">
              <w:rPr>
                <w:rStyle w:val="-"/>
                <w:noProof/>
                <w:lang w:val="el-GR"/>
              </w:rPr>
              <w:t>4.6 Έγκαιρη αναγνώριση, συντονισμός και καθολική πρόληψη</w:t>
            </w:r>
            <w:r>
              <w:rPr>
                <w:noProof/>
                <w:webHidden/>
              </w:rPr>
              <w:tab/>
            </w:r>
            <w:r>
              <w:rPr>
                <w:noProof/>
                <w:webHidden/>
              </w:rPr>
              <w:fldChar w:fldCharType="begin"/>
            </w:r>
            <w:r>
              <w:rPr>
                <w:noProof/>
                <w:webHidden/>
              </w:rPr>
              <w:instrText xml:space="preserve"> PAGEREF _Toc242134433 \h </w:instrText>
            </w:r>
            <w:r>
              <w:rPr>
                <w:noProof/>
                <w:webHidden/>
              </w:rPr>
            </w:r>
            <w:r>
              <w:rPr>
                <w:noProof/>
                <w:webHidden/>
              </w:rPr>
              <w:fldChar w:fldCharType="separate"/>
            </w:r>
            <w:r w:rsidR="004A674C">
              <w:rPr>
                <w:noProof/>
                <w:webHidden/>
              </w:rPr>
              <w:t>45</w:t>
            </w:r>
            <w:r>
              <w:rPr>
                <w:noProof/>
                <w:webHidden/>
              </w:rPr>
              <w:fldChar w:fldCharType="end"/>
            </w:r>
          </w:hyperlink>
        </w:p>
        <w:p w14:paraId="37483BE9" w14:textId="346972F4"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34" w:history="1">
            <w:r w:rsidRPr="00902701">
              <w:rPr>
                <w:rStyle w:val="-"/>
                <w:noProof/>
                <w:lang w:val="el-GR"/>
              </w:rPr>
              <w:t>4.7 Περιορισμοί της υπάρχουσας τεκμηρίωσης</w:t>
            </w:r>
            <w:r>
              <w:rPr>
                <w:noProof/>
                <w:webHidden/>
              </w:rPr>
              <w:tab/>
            </w:r>
            <w:r>
              <w:rPr>
                <w:noProof/>
                <w:webHidden/>
              </w:rPr>
              <w:fldChar w:fldCharType="begin"/>
            </w:r>
            <w:r>
              <w:rPr>
                <w:noProof/>
                <w:webHidden/>
              </w:rPr>
              <w:instrText xml:space="preserve"> PAGEREF _Toc242134434 \h </w:instrText>
            </w:r>
            <w:r>
              <w:rPr>
                <w:noProof/>
                <w:webHidden/>
              </w:rPr>
            </w:r>
            <w:r>
              <w:rPr>
                <w:noProof/>
                <w:webHidden/>
              </w:rPr>
              <w:fldChar w:fldCharType="separate"/>
            </w:r>
            <w:r w:rsidR="004A674C">
              <w:rPr>
                <w:noProof/>
                <w:webHidden/>
              </w:rPr>
              <w:t>45</w:t>
            </w:r>
            <w:r>
              <w:rPr>
                <w:noProof/>
                <w:webHidden/>
              </w:rPr>
              <w:fldChar w:fldCharType="end"/>
            </w:r>
          </w:hyperlink>
        </w:p>
        <w:p w14:paraId="692F2B9D" w14:textId="60FC9642"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35" w:history="1">
            <w:r w:rsidRPr="00902701">
              <w:rPr>
                <w:rStyle w:val="-"/>
                <w:noProof/>
                <w:lang w:val="el-GR"/>
              </w:rPr>
              <w:t>4.8 Συνθετικό μοντέλο παρέμβασης βάσει των καλών πρακτικών</w:t>
            </w:r>
            <w:r>
              <w:rPr>
                <w:noProof/>
                <w:webHidden/>
              </w:rPr>
              <w:tab/>
            </w:r>
            <w:r>
              <w:rPr>
                <w:noProof/>
                <w:webHidden/>
              </w:rPr>
              <w:fldChar w:fldCharType="begin"/>
            </w:r>
            <w:r>
              <w:rPr>
                <w:noProof/>
                <w:webHidden/>
              </w:rPr>
              <w:instrText xml:space="preserve"> PAGEREF _Toc242134435 \h </w:instrText>
            </w:r>
            <w:r>
              <w:rPr>
                <w:noProof/>
                <w:webHidden/>
              </w:rPr>
            </w:r>
            <w:r>
              <w:rPr>
                <w:noProof/>
                <w:webHidden/>
              </w:rPr>
              <w:fldChar w:fldCharType="separate"/>
            </w:r>
            <w:r w:rsidR="004A674C">
              <w:rPr>
                <w:noProof/>
                <w:webHidden/>
              </w:rPr>
              <w:t>46</w:t>
            </w:r>
            <w:r>
              <w:rPr>
                <w:noProof/>
                <w:webHidden/>
              </w:rPr>
              <w:fldChar w:fldCharType="end"/>
            </w:r>
          </w:hyperlink>
        </w:p>
        <w:p w14:paraId="51A91B4C" w14:textId="5F27A01A" w:rsidR="000B7AA5" w:rsidRDefault="000B7AA5">
          <w:pPr>
            <w:pStyle w:val="13"/>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36" w:history="1">
            <w:r w:rsidRPr="00902701">
              <w:rPr>
                <w:rStyle w:val="-"/>
                <w:noProof/>
                <w:lang w:val="el-GR"/>
              </w:rPr>
              <w:t>5. Μεθοδολογία της Έρευνας</w:t>
            </w:r>
            <w:r>
              <w:rPr>
                <w:noProof/>
                <w:webHidden/>
              </w:rPr>
              <w:tab/>
            </w:r>
            <w:r>
              <w:rPr>
                <w:noProof/>
                <w:webHidden/>
              </w:rPr>
              <w:fldChar w:fldCharType="begin"/>
            </w:r>
            <w:r>
              <w:rPr>
                <w:noProof/>
                <w:webHidden/>
              </w:rPr>
              <w:instrText xml:space="preserve"> PAGEREF _Toc242134436 \h </w:instrText>
            </w:r>
            <w:r>
              <w:rPr>
                <w:noProof/>
                <w:webHidden/>
              </w:rPr>
            </w:r>
            <w:r>
              <w:rPr>
                <w:noProof/>
                <w:webHidden/>
              </w:rPr>
              <w:fldChar w:fldCharType="separate"/>
            </w:r>
            <w:r w:rsidR="004A674C">
              <w:rPr>
                <w:noProof/>
                <w:webHidden/>
              </w:rPr>
              <w:t>48</w:t>
            </w:r>
            <w:r>
              <w:rPr>
                <w:noProof/>
                <w:webHidden/>
              </w:rPr>
              <w:fldChar w:fldCharType="end"/>
            </w:r>
          </w:hyperlink>
        </w:p>
        <w:p w14:paraId="5F8916B6" w14:textId="475E7BAD"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37" w:history="1">
            <w:r w:rsidRPr="00902701">
              <w:rPr>
                <w:rStyle w:val="-"/>
                <w:noProof/>
                <w:lang w:val="el-GR"/>
              </w:rPr>
              <w:t>5.1 Ο μεικτός σχεδιασμός</w:t>
            </w:r>
            <w:r>
              <w:rPr>
                <w:noProof/>
                <w:webHidden/>
              </w:rPr>
              <w:tab/>
            </w:r>
            <w:r>
              <w:rPr>
                <w:noProof/>
                <w:webHidden/>
              </w:rPr>
              <w:fldChar w:fldCharType="begin"/>
            </w:r>
            <w:r>
              <w:rPr>
                <w:noProof/>
                <w:webHidden/>
              </w:rPr>
              <w:instrText xml:space="preserve"> PAGEREF _Toc242134437 \h </w:instrText>
            </w:r>
            <w:r>
              <w:rPr>
                <w:noProof/>
                <w:webHidden/>
              </w:rPr>
            </w:r>
            <w:r>
              <w:rPr>
                <w:noProof/>
                <w:webHidden/>
              </w:rPr>
              <w:fldChar w:fldCharType="separate"/>
            </w:r>
            <w:r w:rsidR="004A674C">
              <w:rPr>
                <w:noProof/>
                <w:webHidden/>
              </w:rPr>
              <w:t>48</w:t>
            </w:r>
            <w:r>
              <w:rPr>
                <w:noProof/>
                <w:webHidden/>
              </w:rPr>
              <w:fldChar w:fldCharType="end"/>
            </w:r>
          </w:hyperlink>
        </w:p>
        <w:p w14:paraId="293937BC" w14:textId="4B87311D"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38" w:history="1">
            <w:r w:rsidRPr="00902701">
              <w:rPr>
                <w:rStyle w:val="-"/>
                <w:noProof/>
                <w:lang w:val="el-GR"/>
              </w:rPr>
              <w:t>5.2 Η ποσοτική έρευνα</w:t>
            </w:r>
            <w:r>
              <w:rPr>
                <w:noProof/>
                <w:webHidden/>
              </w:rPr>
              <w:tab/>
            </w:r>
            <w:r>
              <w:rPr>
                <w:noProof/>
                <w:webHidden/>
              </w:rPr>
              <w:fldChar w:fldCharType="begin"/>
            </w:r>
            <w:r>
              <w:rPr>
                <w:noProof/>
                <w:webHidden/>
              </w:rPr>
              <w:instrText xml:space="preserve"> PAGEREF _Toc242134438 \h </w:instrText>
            </w:r>
            <w:r>
              <w:rPr>
                <w:noProof/>
                <w:webHidden/>
              </w:rPr>
            </w:r>
            <w:r>
              <w:rPr>
                <w:noProof/>
                <w:webHidden/>
              </w:rPr>
              <w:fldChar w:fldCharType="separate"/>
            </w:r>
            <w:r w:rsidR="004A674C">
              <w:rPr>
                <w:noProof/>
                <w:webHidden/>
              </w:rPr>
              <w:t>48</w:t>
            </w:r>
            <w:r>
              <w:rPr>
                <w:noProof/>
                <w:webHidden/>
              </w:rPr>
              <w:fldChar w:fldCharType="end"/>
            </w:r>
          </w:hyperlink>
        </w:p>
        <w:p w14:paraId="131BE531" w14:textId="2A0D2C8E"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39" w:history="1">
            <w:r w:rsidRPr="00902701">
              <w:rPr>
                <w:rStyle w:val="-"/>
                <w:noProof/>
                <w:lang w:val="el-GR"/>
              </w:rPr>
              <w:t>5.3 Η ποιοτική έρευνα</w:t>
            </w:r>
            <w:r>
              <w:rPr>
                <w:noProof/>
                <w:webHidden/>
              </w:rPr>
              <w:tab/>
            </w:r>
            <w:r>
              <w:rPr>
                <w:noProof/>
                <w:webHidden/>
              </w:rPr>
              <w:fldChar w:fldCharType="begin"/>
            </w:r>
            <w:r>
              <w:rPr>
                <w:noProof/>
                <w:webHidden/>
              </w:rPr>
              <w:instrText xml:space="preserve"> PAGEREF _Toc242134439 \h </w:instrText>
            </w:r>
            <w:r>
              <w:rPr>
                <w:noProof/>
                <w:webHidden/>
              </w:rPr>
            </w:r>
            <w:r>
              <w:rPr>
                <w:noProof/>
                <w:webHidden/>
              </w:rPr>
              <w:fldChar w:fldCharType="separate"/>
            </w:r>
            <w:r w:rsidR="004A674C">
              <w:rPr>
                <w:noProof/>
                <w:webHidden/>
              </w:rPr>
              <w:t>51</w:t>
            </w:r>
            <w:r>
              <w:rPr>
                <w:noProof/>
                <w:webHidden/>
              </w:rPr>
              <w:fldChar w:fldCharType="end"/>
            </w:r>
          </w:hyperlink>
        </w:p>
        <w:p w14:paraId="30343DA0" w14:textId="186AD9B7"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40" w:history="1">
            <w:r w:rsidRPr="00902701">
              <w:rPr>
                <w:rStyle w:val="-"/>
                <w:noProof/>
                <w:lang w:val="el-GR"/>
              </w:rPr>
              <w:t>5.4 Μεθοδολογικές προκλήσεις και επιλογές</w:t>
            </w:r>
            <w:r>
              <w:rPr>
                <w:noProof/>
                <w:webHidden/>
              </w:rPr>
              <w:tab/>
            </w:r>
            <w:r>
              <w:rPr>
                <w:noProof/>
                <w:webHidden/>
              </w:rPr>
              <w:fldChar w:fldCharType="begin"/>
            </w:r>
            <w:r>
              <w:rPr>
                <w:noProof/>
                <w:webHidden/>
              </w:rPr>
              <w:instrText xml:space="preserve"> PAGEREF _Toc242134440 \h </w:instrText>
            </w:r>
            <w:r>
              <w:rPr>
                <w:noProof/>
                <w:webHidden/>
              </w:rPr>
            </w:r>
            <w:r>
              <w:rPr>
                <w:noProof/>
                <w:webHidden/>
              </w:rPr>
              <w:fldChar w:fldCharType="separate"/>
            </w:r>
            <w:r w:rsidR="004A674C">
              <w:rPr>
                <w:noProof/>
                <w:webHidden/>
              </w:rPr>
              <w:t>53</w:t>
            </w:r>
            <w:r>
              <w:rPr>
                <w:noProof/>
                <w:webHidden/>
              </w:rPr>
              <w:fldChar w:fldCharType="end"/>
            </w:r>
          </w:hyperlink>
        </w:p>
        <w:p w14:paraId="5F2CFF23" w14:textId="617E17ED" w:rsidR="000B7AA5" w:rsidRDefault="000B7AA5">
          <w:pPr>
            <w:pStyle w:val="13"/>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41" w:history="1">
            <w:r w:rsidRPr="00902701">
              <w:rPr>
                <w:rStyle w:val="-"/>
                <w:noProof/>
                <w:lang w:val="el-GR"/>
              </w:rPr>
              <w:t>6. Αποτελέσματα της Ποσοτικής Έρευνας</w:t>
            </w:r>
            <w:r>
              <w:rPr>
                <w:noProof/>
                <w:webHidden/>
              </w:rPr>
              <w:tab/>
            </w:r>
            <w:r>
              <w:rPr>
                <w:noProof/>
                <w:webHidden/>
              </w:rPr>
              <w:fldChar w:fldCharType="begin"/>
            </w:r>
            <w:r>
              <w:rPr>
                <w:noProof/>
                <w:webHidden/>
              </w:rPr>
              <w:instrText xml:space="preserve"> PAGEREF _Toc242134441 \h </w:instrText>
            </w:r>
            <w:r>
              <w:rPr>
                <w:noProof/>
                <w:webHidden/>
              </w:rPr>
            </w:r>
            <w:r>
              <w:rPr>
                <w:noProof/>
                <w:webHidden/>
              </w:rPr>
              <w:fldChar w:fldCharType="separate"/>
            </w:r>
            <w:r w:rsidR="004A674C">
              <w:rPr>
                <w:noProof/>
                <w:webHidden/>
              </w:rPr>
              <w:t>54</w:t>
            </w:r>
            <w:r>
              <w:rPr>
                <w:noProof/>
                <w:webHidden/>
              </w:rPr>
              <w:fldChar w:fldCharType="end"/>
            </w:r>
          </w:hyperlink>
        </w:p>
        <w:p w14:paraId="5C44BDA7" w14:textId="77772ABE"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42" w:history="1">
            <w:r w:rsidRPr="00902701">
              <w:rPr>
                <w:rStyle w:val="-"/>
                <w:noProof/>
                <w:lang w:val="el-GR"/>
              </w:rPr>
              <w:t>6.1 Προφίλ των συμμετεχουσών</w:t>
            </w:r>
            <w:r>
              <w:rPr>
                <w:noProof/>
                <w:webHidden/>
              </w:rPr>
              <w:tab/>
            </w:r>
            <w:r>
              <w:rPr>
                <w:noProof/>
                <w:webHidden/>
              </w:rPr>
              <w:fldChar w:fldCharType="begin"/>
            </w:r>
            <w:r>
              <w:rPr>
                <w:noProof/>
                <w:webHidden/>
              </w:rPr>
              <w:instrText xml:space="preserve"> PAGEREF _Toc242134442 \h </w:instrText>
            </w:r>
            <w:r>
              <w:rPr>
                <w:noProof/>
                <w:webHidden/>
              </w:rPr>
            </w:r>
            <w:r>
              <w:rPr>
                <w:noProof/>
                <w:webHidden/>
              </w:rPr>
              <w:fldChar w:fldCharType="separate"/>
            </w:r>
            <w:r w:rsidR="004A674C">
              <w:rPr>
                <w:noProof/>
                <w:webHidden/>
              </w:rPr>
              <w:t>54</w:t>
            </w:r>
            <w:r>
              <w:rPr>
                <w:noProof/>
                <w:webHidden/>
              </w:rPr>
              <w:fldChar w:fldCharType="end"/>
            </w:r>
          </w:hyperlink>
        </w:p>
        <w:p w14:paraId="542C84A3" w14:textId="3B7DEAF6"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43" w:history="1">
            <w:r w:rsidRPr="00902701">
              <w:rPr>
                <w:rStyle w:val="-"/>
                <w:noProof/>
                <w:lang w:val="el-GR"/>
              </w:rPr>
              <w:t>6.2 Έκθεση των γυναικών σε ενδοοικογενειακή βία</w:t>
            </w:r>
            <w:r>
              <w:rPr>
                <w:noProof/>
                <w:webHidden/>
              </w:rPr>
              <w:tab/>
            </w:r>
            <w:r>
              <w:rPr>
                <w:noProof/>
                <w:webHidden/>
              </w:rPr>
              <w:fldChar w:fldCharType="begin"/>
            </w:r>
            <w:r>
              <w:rPr>
                <w:noProof/>
                <w:webHidden/>
              </w:rPr>
              <w:instrText xml:space="preserve"> PAGEREF _Toc242134443 \h </w:instrText>
            </w:r>
            <w:r>
              <w:rPr>
                <w:noProof/>
                <w:webHidden/>
              </w:rPr>
            </w:r>
            <w:r>
              <w:rPr>
                <w:noProof/>
                <w:webHidden/>
              </w:rPr>
              <w:fldChar w:fldCharType="separate"/>
            </w:r>
            <w:r w:rsidR="004A674C">
              <w:rPr>
                <w:noProof/>
                <w:webHidden/>
              </w:rPr>
              <w:t>55</w:t>
            </w:r>
            <w:r>
              <w:rPr>
                <w:noProof/>
                <w:webHidden/>
              </w:rPr>
              <w:fldChar w:fldCharType="end"/>
            </w:r>
          </w:hyperlink>
        </w:p>
        <w:p w14:paraId="4AE93A4E" w14:textId="1E8E1C32"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44" w:history="1">
            <w:r w:rsidRPr="00902701">
              <w:rPr>
                <w:rStyle w:val="-"/>
                <w:noProof/>
                <w:lang w:val="el-GR"/>
              </w:rPr>
              <w:t>6.3 Ψυχική υγεία των γυναικών: μετατραυματικά συμπτώματα, κατάθλιψη, στρες και ποιότητα ζωής</w:t>
            </w:r>
            <w:r>
              <w:rPr>
                <w:noProof/>
                <w:webHidden/>
              </w:rPr>
              <w:tab/>
            </w:r>
            <w:r>
              <w:rPr>
                <w:noProof/>
                <w:webHidden/>
              </w:rPr>
              <w:fldChar w:fldCharType="begin"/>
            </w:r>
            <w:r>
              <w:rPr>
                <w:noProof/>
                <w:webHidden/>
              </w:rPr>
              <w:instrText xml:space="preserve"> PAGEREF _Toc242134444 \h </w:instrText>
            </w:r>
            <w:r>
              <w:rPr>
                <w:noProof/>
                <w:webHidden/>
              </w:rPr>
            </w:r>
            <w:r>
              <w:rPr>
                <w:noProof/>
                <w:webHidden/>
              </w:rPr>
              <w:fldChar w:fldCharType="separate"/>
            </w:r>
            <w:r w:rsidR="004A674C">
              <w:rPr>
                <w:noProof/>
                <w:webHidden/>
              </w:rPr>
              <w:t>57</w:t>
            </w:r>
            <w:r>
              <w:rPr>
                <w:noProof/>
                <w:webHidden/>
              </w:rPr>
              <w:fldChar w:fldCharType="end"/>
            </w:r>
          </w:hyperlink>
        </w:p>
        <w:p w14:paraId="706E9B0C" w14:textId="4011EAF2"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45" w:history="1">
            <w:r w:rsidRPr="00902701">
              <w:rPr>
                <w:rStyle w:val="-"/>
                <w:noProof/>
                <w:lang w:val="el-GR"/>
              </w:rPr>
              <w:t>6.4 Πρώιμο τραύμα και γονικός δεσμός</w:t>
            </w:r>
            <w:r>
              <w:rPr>
                <w:noProof/>
                <w:webHidden/>
              </w:rPr>
              <w:tab/>
            </w:r>
            <w:r>
              <w:rPr>
                <w:noProof/>
                <w:webHidden/>
              </w:rPr>
              <w:fldChar w:fldCharType="begin"/>
            </w:r>
            <w:r>
              <w:rPr>
                <w:noProof/>
                <w:webHidden/>
              </w:rPr>
              <w:instrText xml:space="preserve"> PAGEREF _Toc242134445 \h </w:instrText>
            </w:r>
            <w:r>
              <w:rPr>
                <w:noProof/>
                <w:webHidden/>
              </w:rPr>
            </w:r>
            <w:r>
              <w:rPr>
                <w:noProof/>
                <w:webHidden/>
              </w:rPr>
              <w:fldChar w:fldCharType="separate"/>
            </w:r>
            <w:r w:rsidR="004A674C">
              <w:rPr>
                <w:noProof/>
                <w:webHidden/>
              </w:rPr>
              <w:t>60</w:t>
            </w:r>
            <w:r>
              <w:rPr>
                <w:noProof/>
                <w:webHidden/>
              </w:rPr>
              <w:fldChar w:fldCharType="end"/>
            </w:r>
          </w:hyperlink>
        </w:p>
        <w:p w14:paraId="5E3F1DF5" w14:textId="6230B728"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46" w:history="1">
            <w:r w:rsidRPr="00902701">
              <w:rPr>
                <w:rStyle w:val="-"/>
                <w:noProof/>
                <w:lang w:val="el-GR"/>
              </w:rPr>
              <w:t>6.5 Γονικές πρακτικές των μητέρων</w:t>
            </w:r>
            <w:r>
              <w:rPr>
                <w:noProof/>
                <w:webHidden/>
              </w:rPr>
              <w:tab/>
            </w:r>
            <w:r>
              <w:rPr>
                <w:noProof/>
                <w:webHidden/>
              </w:rPr>
              <w:fldChar w:fldCharType="begin"/>
            </w:r>
            <w:r>
              <w:rPr>
                <w:noProof/>
                <w:webHidden/>
              </w:rPr>
              <w:instrText xml:space="preserve"> PAGEREF _Toc242134446 \h </w:instrText>
            </w:r>
            <w:r>
              <w:rPr>
                <w:noProof/>
                <w:webHidden/>
              </w:rPr>
            </w:r>
            <w:r>
              <w:rPr>
                <w:noProof/>
                <w:webHidden/>
              </w:rPr>
              <w:fldChar w:fldCharType="separate"/>
            </w:r>
            <w:r w:rsidR="004A674C">
              <w:rPr>
                <w:noProof/>
                <w:webHidden/>
              </w:rPr>
              <w:t>61</w:t>
            </w:r>
            <w:r>
              <w:rPr>
                <w:noProof/>
                <w:webHidden/>
              </w:rPr>
              <w:fldChar w:fldCharType="end"/>
            </w:r>
          </w:hyperlink>
        </w:p>
        <w:p w14:paraId="366D30EC" w14:textId="58A86F4A"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47" w:history="1">
            <w:r w:rsidRPr="00902701">
              <w:rPr>
                <w:rStyle w:val="-"/>
                <w:noProof/>
                <w:lang w:val="el-GR"/>
              </w:rPr>
              <w:t>6.6 Τα παιδιά: έκθεση στη βία, ψυχοκοινωνική προσαρμογή, ανθεκτικότητα και ανάπτυξη</w:t>
            </w:r>
            <w:r>
              <w:rPr>
                <w:noProof/>
                <w:webHidden/>
              </w:rPr>
              <w:tab/>
            </w:r>
            <w:r>
              <w:rPr>
                <w:noProof/>
                <w:webHidden/>
              </w:rPr>
              <w:fldChar w:fldCharType="begin"/>
            </w:r>
            <w:r>
              <w:rPr>
                <w:noProof/>
                <w:webHidden/>
              </w:rPr>
              <w:instrText xml:space="preserve"> PAGEREF _Toc242134447 \h </w:instrText>
            </w:r>
            <w:r>
              <w:rPr>
                <w:noProof/>
                <w:webHidden/>
              </w:rPr>
            </w:r>
            <w:r>
              <w:rPr>
                <w:noProof/>
                <w:webHidden/>
              </w:rPr>
              <w:fldChar w:fldCharType="separate"/>
            </w:r>
            <w:r w:rsidR="004A674C">
              <w:rPr>
                <w:noProof/>
                <w:webHidden/>
              </w:rPr>
              <w:t>62</w:t>
            </w:r>
            <w:r>
              <w:rPr>
                <w:noProof/>
                <w:webHidden/>
              </w:rPr>
              <w:fldChar w:fldCharType="end"/>
            </w:r>
          </w:hyperlink>
        </w:p>
        <w:p w14:paraId="15FA9D50" w14:textId="4AA0F6DE"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48" w:history="1">
            <w:r w:rsidRPr="00902701">
              <w:rPr>
                <w:rStyle w:val="-"/>
                <w:noProof/>
                <w:lang w:val="el-GR"/>
              </w:rPr>
              <w:t>6.7 Μετατραυματική ανάπτυξη των γυναικών: ο ρόλος του στρες και της κατάθλιψης</w:t>
            </w:r>
            <w:r>
              <w:rPr>
                <w:noProof/>
                <w:webHidden/>
              </w:rPr>
              <w:tab/>
            </w:r>
            <w:r>
              <w:rPr>
                <w:noProof/>
                <w:webHidden/>
              </w:rPr>
              <w:fldChar w:fldCharType="begin"/>
            </w:r>
            <w:r>
              <w:rPr>
                <w:noProof/>
                <w:webHidden/>
              </w:rPr>
              <w:instrText xml:space="preserve"> PAGEREF _Toc242134448 \h </w:instrText>
            </w:r>
            <w:r>
              <w:rPr>
                <w:noProof/>
                <w:webHidden/>
              </w:rPr>
            </w:r>
            <w:r>
              <w:rPr>
                <w:noProof/>
                <w:webHidden/>
              </w:rPr>
              <w:fldChar w:fldCharType="separate"/>
            </w:r>
            <w:r w:rsidR="004A674C">
              <w:rPr>
                <w:noProof/>
                <w:webHidden/>
              </w:rPr>
              <w:t>64</w:t>
            </w:r>
            <w:r>
              <w:rPr>
                <w:noProof/>
                <w:webHidden/>
              </w:rPr>
              <w:fldChar w:fldCharType="end"/>
            </w:r>
          </w:hyperlink>
        </w:p>
        <w:p w14:paraId="4A71B5CB" w14:textId="4E3377F9"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49" w:history="1">
            <w:r w:rsidRPr="00902701">
              <w:rPr>
                <w:rStyle w:val="-"/>
                <w:noProof/>
                <w:lang w:val="el-GR"/>
              </w:rPr>
              <w:t>6.8 Κοινωνικοδημογραφικές διαφοροποιήσεις του τραύματος και της ανάπτυξης των γυναικών</w:t>
            </w:r>
            <w:r>
              <w:rPr>
                <w:noProof/>
                <w:webHidden/>
              </w:rPr>
              <w:tab/>
            </w:r>
            <w:r>
              <w:rPr>
                <w:noProof/>
                <w:webHidden/>
              </w:rPr>
              <w:fldChar w:fldCharType="begin"/>
            </w:r>
            <w:r>
              <w:rPr>
                <w:noProof/>
                <w:webHidden/>
              </w:rPr>
              <w:instrText xml:space="preserve"> PAGEREF _Toc242134449 \h </w:instrText>
            </w:r>
            <w:r>
              <w:rPr>
                <w:noProof/>
                <w:webHidden/>
              </w:rPr>
            </w:r>
            <w:r>
              <w:rPr>
                <w:noProof/>
                <w:webHidden/>
              </w:rPr>
              <w:fldChar w:fldCharType="separate"/>
            </w:r>
            <w:r w:rsidR="004A674C">
              <w:rPr>
                <w:noProof/>
                <w:webHidden/>
              </w:rPr>
              <w:t>66</w:t>
            </w:r>
            <w:r>
              <w:rPr>
                <w:noProof/>
                <w:webHidden/>
              </w:rPr>
              <w:fldChar w:fldCharType="end"/>
            </w:r>
          </w:hyperlink>
        </w:p>
        <w:p w14:paraId="0757FB46" w14:textId="1F9F85F4"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50" w:history="1">
            <w:r w:rsidRPr="00902701">
              <w:rPr>
                <w:rStyle w:val="-"/>
                <w:noProof/>
                <w:lang w:val="el-GR"/>
              </w:rPr>
              <w:t>6.9 Σύγκριση μεταναστριών και Ελληνίδων</w:t>
            </w:r>
            <w:r>
              <w:rPr>
                <w:noProof/>
                <w:webHidden/>
              </w:rPr>
              <w:tab/>
            </w:r>
            <w:r>
              <w:rPr>
                <w:noProof/>
                <w:webHidden/>
              </w:rPr>
              <w:fldChar w:fldCharType="begin"/>
            </w:r>
            <w:r>
              <w:rPr>
                <w:noProof/>
                <w:webHidden/>
              </w:rPr>
              <w:instrText xml:space="preserve"> PAGEREF _Toc242134450 \h </w:instrText>
            </w:r>
            <w:r>
              <w:rPr>
                <w:noProof/>
                <w:webHidden/>
              </w:rPr>
            </w:r>
            <w:r>
              <w:rPr>
                <w:noProof/>
                <w:webHidden/>
              </w:rPr>
              <w:fldChar w:fldCharType="separate"/>
            </w:r>
            <w:r w:rsidR="004A674C">
              <w:rPr>
                <w:noProof/>
                <w:webHidden/>
              </w:rPr>
              <w:t>67</w:t>
            </w:r>
            <w:r>
              <w:rPr>
                <w:noProof/>
                <w:webHidden/>
              </w:rPr>
              <w:fldChar w:fldCharType="end"/>
            </w:r>
          </w:hyperlink>
        </w:p>
        <w:p w14:paraId="554F6DB1" w14:textId="2142E8C7"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51" w:history="1">
            <w:r w:rsidRPr="00902701">
              <w:rPr>
                <w:rStyle w:val="-"/>
                <w:noProof/>
                <w:lang w:val="el-GR"/>
              </w:rPr>
              <w:t>6.10 Συγκεντρωτικοί στατιστικοί δείκτες</w:t>
            </w:r>
            <w:r>
              <w:rPr>
                <w:noProof/>
                <w:webHidden/>
              </w:rPr>
              <w:tab/>
            </w:r>
            <w:r>
              <w:rPr>
                <w:noProof/>
                <w:webHidden/>
              </w:rPr>
              <w:fldChar w:fldCharType="begin"/>
            </w:r>
            <w:r>
              <w:rPr>
                <w:noProof/>
                <w:webHidden/>
              </w:rPr>
              <w:instrText xml:space="preserve"> PAGEREF _Toc242134451 \h </w:instrText>
            </w:r>
            <w:r>
              <w:rPr>
                <w:noProof/>
                <w:webHidden/>
              </w:rPr>
            </w:r>
            <w:r>
              <w:rPr>
                <w:noProof/>
                <w:webHidden/>
              </w:rPr>
              <w:fldChar w:fldCharType="separate"/>
            </w:r>
            <w:r w:rsidR="004A674C">
              <w:rPr>
                <w:noProof/>
                <w:webHidden/>
              </w:rPr>
              <w:t>67</w:t>
            </w:r>
            <w:r>
              <w:rPr>
                <w:noProof/>
                <w:webHidden/>
              </w:rPr>
              <w:fldChar w:fldCharType="end"/>
            </w:r>
          </w:hyperlink>
        </w:p>
        <w:p w14:paraId="63300128" w14:textId="6818E2F9" w:rsidR="000B7AA5" w:rsidRDefault="000B7AA5">
          <w:pPr>
            <w:pStyle w:val="13"/>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52" w:history="1">
            <w:r w:rsidRPr="00902701">
              <w:rPr>
                <w:rStyle w:val="-"/>
                <w:noProof/>
              </w:rPr>
              <w:t>7. Αποτελέσματα της Ποιοτικής Έρευνας</w:t>
            </w:r>
            <w:r>
              <w:rPr>
                <w:noProof/>
                <w:webHidden/>
              </w:rPr>
              <w:tab/>
            </w:r>
            <w:r>
              <w:rPr>
                <w:noProof/>
                <w:webHidden/>
              </w:rPr>
              <w:fldChar w:fldCharType="begin"/>
            </w:r>
            <w:r>
              <w:rPr>
                <w:noProof/>
                <w:webHidden/>
              </w:rPr>
              <w:instrText xml:space="preserve"> PAGEREF _Toc242134452 \h </w:instrText>
            </w:r>
            <w:r>
              <w:rPr>
                <w:noProof/>
                <w:webHidden/>
              </w:rPr>
            </w:r>
            <w:r>
              <w:rPr>
                <w:noProof/>
                <w:webHidden/>
              </w:rPr>
              <w:fldChar w:fldCharType="separate"/>
            </w:r>
            <w:r w:rsidR="004A674C">
              <w:rPr>
                <w:noProof/>
                <w:webHidden/>
              </w:rPr>
              <w:t>70</w:t>
            </w:r>
            <w:r>
              <w:rPr>
                <w:noProof/>
                <w:webHidden/>
              </w:rPr>
              <w:fldChar w:fldCharType="end"/>
            </w:r>
          </w:hyperlink>
        </w:p>
        <w:p w14:paraId="43A93DEA" w14:textId="292FCF6B"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53" w:history="1">
            <w:r w:rsidRPr="00902701">
              <w:rPr>
                <w:rStyle w:val="-"/>
                <w:noProof/>
                <w:lang w:val="el-GR"/>
              </w:rPr>
              <w:t>7.1 Οργάνωση των ευρημάτων</w:t>
            </w:r>
            <w:r>
              <w:rPr>
                <w:noProof/>
                <w:webHidden/>
              </w:rPr>
              <w:tab/>
            </w:r>
            <w:r>
              <w:rPr>
                <w:noProof/>
                <w:webHidden/>
              </w:rPr>
              <w:fldChar w:fldCharType="begin"/>
            </w:r>
            <w:r>
              <w:rPr>
                <w:noProof/>
                <w:webHidden/>
              </w:rPr>
              <w:instrText xml:space="preserve"> PAGEREF _Toc242134453 \h </w:instrText>
            </w:r>
            <w:r>
              <w:rPr>
                <w:noProof/>
                <w:webHidden/>
              </w:rPr>
            </w:r>
            <w:r>
              <w:rPr>
                <w:noProof/>
                <w:webHidden/>
              </w:rPr>
              <w:fldChar w:fldCharType="separate"/>
            </w:r>
            <w:r w:rsidR="004A674C">
              <w:rPr>
                <w:noProof/>
                <w:webHidden/>
              </w:rPr>
              <w:t>70</w:t>
            </w:r>
            <w:r>
              <w:rPr>
                <w:noProof/>
                <w:webHidden/>
              </w:rPr>
              <w:fldChar w:fldCharType="end"/>
            </w:r>
          </w:hyperlink>
        </w:p>
        <w:p w14:paraId="4EB90071" w14:textId="4EB499A3"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54" w:history="1">
            <w:r w:rsidRPr="00902701">
              <w:rPr>
                <w:rStyle w:val="-"/>
                <w:noProof/>
                <w:lang w:val="el-GR"/>
              </w:rPr>
              <w:t>7.2 Θέμα 1: Η βία ως καθεστώς εξουσίας και ελέγχου</w:t>
            </w:r>
            <w:r>
              <w:rPr>
                <w:noProof/>
                <w:webHidden/>
              </w:rPr>
              <w:tab/>
            </w:r>
            <w:r>
              <w:rPr>
                <w:noProof/>
                <w:webHidden/>
              </w:rPr>
              <w:fldChar w:fldCharType="begin"/>
            </w:r>
            <w:r>
              <w:rPr>
                <w:noProof/>
                <w:webHidden/>
              </w:rPr>
              <w:instrText xml:space="preserve"> PAGEREF _Toc242134454 \h </w:instrText>
            </w:r>
            <w:r>
              <w:rPr>
                <w:noProof/>
                <w:webHidden/>
              </w:rPr>
            </w:r>
            <w:r>
              <w:rPr>
                <w:noProof/>
                <w:webHidden/>
              </w:rPr>
              <w:fldChar w:fldCharType="separate"/>
            </w:r>
            <w:r w:rsidR="004A674C">
              <w:rPr>
                <w:noProof/>
                <w:webHidden/>
              </w:rPr>
              <w:t>71</w:t>
            </w:r>
            <w:r>
              <w:rPr>
                <w:noProof/>
                <w:webHidden/>
              </w:rPr>
              <w:fldChar w:fldCharType="end"/>
            </w:r>
          </w:hyperlink>
        </w:p>
        <w:p w14:paraId="2A52BF00" w14:textId="497744A7"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55" w:history="1">
            <w:r w:rsidRPr="00902701">
              <w:rPr>
                <w:rStyle w:val="-"/>
                <w:noProof/>
                <w:lang w:val="el-GR"/>
              </w:rPr>
              <w:t>7.3 Θέμα 2: Ο εγκλωβισμός παράγεται κοινωνικά και υλικά</w:t>
            </w:r>
            <w:r>
              <w:rPr>
                <w:noProof/>
                <w:webHidden/>
              </w:rPr>
              <w:tab/>
            </w:r>
            <w:r>
              <w:rPr>
                <w:noProof/>
                <w:webHidden/>
              </w:rPr>
              <w:fldChar w:fldCharType="begin"/>
            </w:r>
            <w:r>
              <w:rPr>
                <w:noProof/>
                <w:webHidden/>
              </w:rPr>
              <w:instrText xml:space="preserve"> PAGEREF _Toc242134455 \h </w:instrText>
            </w:r>
            <w:r>
              <w:rPr>
                <w:noProof/>
                <w:webHidden/>
              </w:rPr>
            </w:r>
            <w:r>
              <w:rPr>
                <w:noProof/>
                <w:webHidden/>
              </w:rPr>
              <w:fldChar w:fldCharType="separate"/>
            </w:r>
            <w:r w:rsidR="004A674C">
              <w:rPr>
                <w:noProof/>
                <w:webHidden/>
              </w:rPr>
              <w:t>72</w:t>
            </w:r>
            <w:r>
              <w:rPr>
                <w:noProof/>
                <w:webHidden/>
              </w:rPr>
              <w:fldChar w:fldCharType="end"/>
            </w:r>
          </w:hyperlink>
        </w:p>
        <w:p w14:paraId="43763592" w14:textId="0EB05FBA"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56" w:history="1">
            <w:r w:rsidRPr="00902701">
              <w:rPr>
                <w:rStyle w:val="-"/>
                <w:noProof/>
                <w:lang w:val="el-GR"/>
              </w:rPr>
              <w:t>7.4 Θέμα 3: «Το σώμα σε διαρκή ετοιμότητα»: η ενσώματη και σχεσιακή εμπειρία του τραύματος</w:t>
            </w:r>
            <w:r>
              <w:rPr>
                <w:noProof/>
                <w:webHidden/>
              </w:rPr>
              <w:tab/>
            </w:r>
            <w:r>
              <w:rPr>
                <w:noProof/>
                <w:webHidden/>
              </w:rPr>
              <w:fldChar w:fldCharType="begin"/>
            </w:r>
            <w:r>
              <w:rPr>
                <w:noProof/>
                <w:webHidden/>
              </w:rPr>
              <w:instrText xml:space="preserve"> PAGEREF _Toc242134456 \h </w:instrText>
            </w:r>
            <w:r>
              <w:rPr>
                <w:noProof/>
                <w:webHidden/>
              </w:rPr>
            </w:r>
            <w:r>
              <w:rPr>
                <w:noProof/>
                <w:webHidden/>
              </w:rPr>
              <w:fldChar w:fldCharType="separate"/>
            </w:r>
            <w:r w:rsidR="004A674C">
              <w:rPr>
                <w:noProof/>
                <w:webHidden/>
              </w:rPr>
              <w:t>73</w:t>
            </w:r>
            <w:r>
              <w:rPr>
                <w:noProof/>
                <w:webHidden/>
              </w:rPr>
              <w:fldChar w:fldCharType="end"/>
            </w:r>
          </w:hyperlink>
        </w:p>
        <w:p w14:paraId="28F20253" w14:textId="2188B603"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57" w:history="1">
            <w:r w:rsidRPr="00902701">
              <w:rPr>
                <w:rStyle w:val="-"/>
                <w:noProof/>
                <w:lang w:val="el-GR"/>
              </w:rPr>
              <w:t>7.5 Θέμα 4: «Το οικείο μοιάζει φυσιολογικό»: οικογενειακά και έμφυλα σενάρια διαγενεακής συνέχειας</w:t>
            </w:r>
            <w:r>
              <w:rPr>
                <w:noProof/>
                <w:webHidden/>
              </w:rPr>
              <w:tab/>
            </w:r>
            <w:r>
              <w:rPr>
                <w:noProof/>
                <w:webHidden/>
              </w:rPr>
              <w:fldChar w:fldCharType="begin"/>
            </w:r>
            <w:r>
              <w:rPr>
                <w:noProof/>
                <w:webHidden/>
              </w:rPr>
              <w:instrText xml:space="preserve"> PAGEREF _Toc242134457 \h </w:instrText>
            </w:r>
            <w:r>
              <w:rPr>
                <w:noProof/>
                <w:webHidden/>
              </w:rPr>
            </w:r>
            <w:r>
              <w:rPr>
                <w:noProof/>
                <w:webHidden/>
              </w:rPr>
              <w:fldChar w:fldCharType="separate"/>
            </w:r>
            <w:r w:rsidR="004A674C">
              <w:rPr>
                <w:noProof/>
                <w:webHidden/>
              </w:rPr>
              <w:t>74</w:t>
            </w:r>
            <w:r>
              <w:rPr>
                <w:noProof/>
                <w:webHidden/>
              </w:rPr>
              <w:fldChar w:fldCharType="end"/>
            </w:r>
          </w:hyperlink>
        </w:p>
        <w:p w14:paraId="674FED49" w14:textId="71982572"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58" w:history="1">
            <w:r w:rsidRPr="00902701">
              <w:rPr>
                <w:rStyle w:val="-"/>
                <w:noProof/>
                <w:lang w:val="el-GR"/>
              </w:rPr>
              <w:t>7.6 Θέμα 5: Τα παιδιά βλέπουν, νιώθουν και παίρνουν θέση</w:t>
            </w:r>
            <w:r>
              <w:rPr>
                <w:noProof/>
                <w:webHidden/>
              </w:rPr>
              <w:tab/>
            </w:r>
            <w:r>
              <w:rPr>
                <w:noProof/>
                <w:webHidden/>
              </w:rPr>
              <w:fldChar w:fldCharType="begin"/>
            </w:r>
            <w:r>
              <w:rPr>
                <w:noProof/>
                <w:webHidden/>
              </w:rPr>
              <w:instrText xml:space="preserve"> PAGEREF _Toc242134458 \h </w:instrText>
            </w:r>
            <w:r>
              <w:rPr>
                <w:noProof/>
                <w:webHidden/>
              </w:rPr>
            </w:r>
            <w:r>
              <w:rPr>
                <w:noProof/>
                <w:webHidden/>
              </w:rPr>
              <w:fldChar w:fldCharType="separate"/>
            </w:r>
            <w:r w:rsidR="004A674C">
              <w:rPr>
                <w:noProof/>
                <w:webHidden/>
              </w:rPr>
              <w:t>75</w:t>
            </w:r>
            <w:r>
              <w:rPr>
                <w:noProof/>
                <w:webHidden/>
              </w:rPr>
              <w:fldChar w:fldCharType="end"/>
            </w:r>
          </w:hyperlink>
        </w:p>
        <w:p w14:paraId="004F0023" w14:textId="08EB04B0"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59" w:history="1">
            <w:r w:rsidRPr="00902701">
              <w:rPr>
                <w:rStyle w:val="-"/>
                <w:noProof/>
                <w:lang w:val="el-GR"/>
              </w:rPr>
              <w:t>7.7 Θέμα 6: «Να τους δώσω ό,τι δεν είχα»: η μητρότητα ως επανόρθωση και υπερευθύνη</w:t>
            </w:r>
            <w:r>
              <w:rPr>
                <w:noProof/>
                <w:webHidden/>
              </w:rPr>
              <w:tab/>
            </w:r>
            <w:r>
              <w:rPr>
                <w:noProof/>
                <w:webHidden/>
              </w:rPr>
              <w:fldChar w:fldCharType="begin"/>
            </w:r>
            <w:r>
              <w:rPr>
                <w:noProof/>
                <w:webHidden/>
              </w:rPr>
              <w:instrText xml:space="preserve"> PAGEREF _Toc242134459 \h </w:instrText>
            </w:r>
            <w:r>
              <w:rPr>
                <w:noProof/>
                <w:webHidden/>
              </w:rPr>
            </w:r>
            <w:r>
              <w:rPr>
                <w:noProof/>
                <w:webHidden/>
              </w:rPr>
              <w:fldChar w:fldCharType="separate"/>
            </w:r>
            <w:r w:rsidR="004A674C">
              <w:rPr>
                <w:noProof/>
                <w:webHidden/>
              </w:rPr>
              <w:t>76</w:t>
            </w:r>
            <w:r>
              <w:rPr>
                <w:noProof/>
                <w:webHidden/>
              </w:rPr>
              <w:fldChar w:fldCharType="end"/>
            </w:r>
          </w:hyperlink>
        </w:p>
        <w:p w14:paraId="71C4E06E" w14:textId="4202918B"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60" w:history="1">
            <w:r w:rsidRPr="00902701">
              <w:rPr>
                <w:rStyle w:val="-"/>
                <w:noProof/>
                <w:lang w:val="el-GR"/>
              </w:rPr>
              <w:t>7.8 Θέμα 7: «Η βία δεν τελειώνει με τον χωρισμό»: έλεγχος μετά τον χωρισμό και θεσμικός επανατραυματισμός</w:t>
            </w:r>
            <w:r>
              <w:rPr>
                <w:noProof/>
                <w:webHidden/>
              </w:rPr>
              <w:tab/>
            </w:r>
            <w:r>
              <w:rPr>
                <w:noProof/>
                <w:webHidden/>
              </w:rPr>
              <w:fldChar w:fldCharType="begin"/>
            </w:r>
            <w:r>
              <w:rPr>
                <w:noProof/>
                <w:webHidden/>
              </w:rPr>
              <w:instrText xml:space="preserve"> PAGEREF _Toc242134460 \h </w:instrText>
            </w:r>
            <w:r>
              <w:rPr>
                <w:noProof/>
                <w:webHidden/>
              </w:rPr>
            </w:r>
            <w:r>
              <w:rPr>
                <w:noProof/>
                <w:webHidden/>
              </w:rPr>
              <w:fldChar w:fldCharType="separate"/>
            </w:r>
            <w:r w:rsidR="004A674C">
              <w:rPr>
                <w:noProof/>
                <w:webHidden/>
              </w:rPr>
              <w:t>77</w:t>
            </w:r>
            <w:r>
              <w:rPr>
                <w:noProof/>
                <w:webHidden/>
              </w:rPr>
              <w:fldChar w:fldCharType="end"/>
            </w:r>
          </w:hyperlink>
        </w:p>
        <w:p w14:paraId="28E2D220" w14:textId="5F9F33E0"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61" w:history="1">
            <w:r w:rsidRPr="00902701">
              <w:rPr>
                <w:rStyle w:val="-"/>
                <w:noProof/>
                <w:lang w:val="el-GR"/>
              </w:rPr>
              <w:t>7.9 Θέμα 8: «Από την επιβίωση στην ανάκτηση της ζωής»: μη γραμμική αποκατάσταση και μετατραυματική ανάπτυξη</w:t>
            </w:r>
            <w:r>
              <w:rPr>
                <w:noProof/>
                <w:webHidden/>
              </w:rPr>
              <w:tab/>
            </w:r>
            <w:r>
              <w:rPr>
                <w:noProof/>
                <w:webHidden/>
              </w:rPr>
              <w:fldChar w:fldCharType="begin"/>
            </w:r>
            <w:r>
              <w:rPr>
                <w:noProof/>
                <w:webHidden/>
              </w:rPr>
              <w:instrText xml:space="preserve"> PAGEREF _Toc242134461 \h </w:instrText>
            </w:r>
            <w:r>
              <w:rPr>
                <w:noProof/>
                <w:webHidden/>
              </w:rPr>
            </w:r>
            <w:r>
              <w:rPr>
                <w:noProof/>
                <w:webHidden/>
              </w:rPr>
              <w:fldChar w:fldCharType="separate"/>
            </w:r>
            <w:r w:rsidR="004A674C">
              <w:rPr>
                <w:noProof/>
                <w:webHidden/>
              </w:rPr>
              <w:t>78</w:t>
            </w:r>
            <w:r>
              <w:rPr>
                <w:noProof/>
                <w:webHidden/>
              </w:rPr>
              <w:fldChar w:fldCharType="end"/>
            </w:r>
          </w:hyperlink>
        </w:p>
        <w:p w14:paraId="20A3E8B9" w14:textId="0C56CD2B"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62" w:history="1">
            <w:r w:rsidRPr="00902701">
              <w:rPr>
                <w:rStyle w:val="-"/>
                <w:noProof/>
                <w:lang w:val="el-GR"/>
              </w:rPr>
              <w:t>7.10 Θέμα 9: Από το βίωμα στη συλλογική αλλαγή: οι προτάσεις των ίδιων των γυναικών</w:t>
            </w:r>
            <w:r>
              <w:rPr>
                <w:noProof/>
                <w:webHidden/>
              </w:rPr>
              <w:tab/>
            </w:r>
            <w:r>
              <w:rPr>
                <w:noProof/>
                <w:webHidden/>
              </w:rPr>
              <w:fldChar w:fldCharType="begin"/>
            </w:r>
            <w:r>
              <w:rPr>
                <w:noProof/>
                <w:webHidden/>
              </w:rPr>
              <w:instrText xml:space="preserve"> PAGEREF _Toc242134462 \h </w:instrText>
            </w:r>
            <w:r>
              <w:rPr>
                <w:noProof/>
                <w:webHidden/>
              </w:rPr>
            </w:r>
            <w:r>
              <w:rPr>
                <w:noProof/>
                <w:webHidden/>
              </w:rPr>
              <w:fldChar w:fldCharType="separate"/>
            </w:r>
            <w:r w:rsidR="004A674C">
              <w:rPr>
                <w:noProof/>
                <w:webHidden/>
              </w:rPr>
              <w:t>79</w:t>
            </w:r>
            <w:r>
              <w:rPr>
                <w:noProof/>
                <w:webHidden/>
              </w:rPr>
              <w:fldChar w:fldCharType="end"/>
            </w:r>
          </w:hyperlink>
        </w:p>
        <w:p w14:paraId="4B23C58B" w14:textId="013C742C" w:rsidR="000B7AA5" w:rsidRDefault="000B7AA5">
          <w:pPr>
            <w:pStyle w:val="13"/>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63" w:history="1">
            <w:r w:rsidRPr="00902701">
              <w:rPr>
                <w:rStyle w:val="-"/>
                <w:noProof/>
                <w:lang w:val="el-GR"/>
              </w:rPr>
              <w:t>8. Συζήτηση: Ερμηνεία και Σύνθεση των Ευρημάτων</w:t>
            </w:r>
            <w:r>
              <w:rPr>
                <w:noProof/>
                <w:webHidden/>
              </w:rPr>
              <w:tab/>
            </w:r>
            <w:r>
              <w:rPr>
                <w:noProof/>
                <w:webHidden/>
              </w:rPr>
              <w:fldChar w:fldCharType="begin"/>
            </w:r>
            <w:r>
              <w:rPr>
                <w:noProof/>
                <w:webHidden/>
              </w:rPr>
              <w:instrText xml:space="preserve"> PAGEREF _Toc242134463 \h </w:instrText>
            </w:r>
            <w:r>
              <w:rPr>
                <w:noProof/>
                <w:webHidden/>
              </w:rPr>
            </w:r>
            <w:r>
              <w:rPr>
                <w:noProof/>
                <w:webHidden/>
              </w:rPr>
              <w:fldChar w:fldCharType="separate"/>
            </w:r>
            <w:r w:rsidR="004A674C">
              <w:rPr>
                <w:noProof/>
                <w:webHidden/>
              </w:rPr>
              <w:t>81</w:t>
            </w:r>
            <w:r>
              <w:rPr>
                <w:noProof/>
                <w:webHidden/>
              </w:rPr>
              <w:fldChar w:fldCharType="end"/>
            </w:r>
          </w:hyperlink>
        </w:p>
        <w:p w14:paraId="365E3226" w14:textId="7377DDE2"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64" w:history="1">
            <w:r w:rsidRPr="00902701">
              <w:rPr>
                <w:rStyle w:val="-"/>
                <w:noProof/>
                <w:lang w:val="el-GR"/>
              </w:rPr>
              <w:t>8.1 Το τραύμα ως κεντρικός άξονας της επιβάρυνσης</w:t>
            </w:r>
            <w:r>
              <w:rPr>
                <w:noProof/>
                <w:webHidden/>
              </w:rPr>
              <w:tab/>
            </w:r>
            <w:r>
              <w:rPr>
                <w:noProof/>
                <w:webHidden/>
              </w:rPr>
              <w:fldChar w:fldCharType="begin"/>
            </w:r>
            <w:r>
              <w:rPr>
                <w:noProof/>
                <w:webHidden/>
              </w:rPr>
              <w:instrText xml:space="preserve"> PAGEREF _Toc242134464 \h </w:instrText>
            </w:r>
            <w:r>
              <w:rPr>
                <w:noProof/>
                <w:webHidden/>
              </w:rPr>
            </w:r>
            <w:r>
              <w:rPr>
                <w:noProof/>
                <w:webHidden/>
              </w:rPr>
              <w:fldChar w:fldCharType="separate"/>
            </w:r>
            <w:r w:rsidR="004A674C">
              <w:rPr>
                <w:noProof/>
                <w:webHidden/>
              </w:rPr>
              <w:t>81</w:t>
            </w:r>
            <w:r>
              <w:rPr>
                <w:noProof/>
                <w:webHidden/>
              </w:rPr>
              <w:fldChar w:fldCharType="end"/>
            </w:r>
          </w:hyperlink>
        </w:p>
        <w:p w14:paraId="56B6AEAD" w14:textId="79AAC4F1"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65" w:history="1">
            <w:r w:rsidRPr="00902701">
              <w:rPr>
                <w:rStyle w:val="-"/>
                <w:noProof/>
                <w:lang w:val="el-GR"/>
              </w:rPr>
              <w:t>8.2 Ο εξαναγκαστικός έλεγχος: αβοηθητότητα, απομόνωση και δράση</w:t>
            </w:r>
            <w:r>
              <w:rPr>
                <w:noProof/>
                <w:webHidden/>
              </w:rPr>
              <w:tab/>
            </w:r>
            <w:r>
              <w:rPr>
                <w:noProof/>
                <w:webHidden/>
              </w:rPr>
              <w:fldChar w:fldCharType="begin"/>
            </w:r>
            <w:r>
              <w:rPr>
                <w:noProof/>
                <w:webHidden/>
              </w:rPr>
              <w:instrText xml:space="preserve"> PAGEREF _Toc242134465 \h </w:instrText>
            </w:r>
            <w:r>
              <w:rPr>
                <w:noProof/>
                <w:webHidden/>
              </w:rPr>
            </w:r>
            <w:r>
              <w:rPr>
                <w:noProof/>
                <w:webHidden/>
              </w:rPr>
              <w:fldChar w:fldCharType="separate"/>
            </w:r>
            <w:r w:rsidR="004A674C">
              <w:rPr>
                <w:noProof/>
                <w:webHidden/>
              </w:rPr>
              <w:t>81</w:t>
            </w:r>
            <w:r>
              <w:rPr>
                <w:noProof/>
                <w:webHidden/>
              </w:rPr>
              <w:fldChar w:fldCharType="end"/>
            </w:r>
          </w:hyperlink>
        </w:p>
        <w:p w14:paraId="3957F8A4" w14:textId="1AB59AB2"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66" w:history="1">
            <w:r w:rsidRPr="00902701">
              <w:rPr>
                <w:rStyle w:val="-"/>
                <w:noProof/>
                <w:lang w:val="el-GR"/>
              </w:rPr>
              <w:t>8.3 Διαθεματικότητα, υλικός εγκλωβισμός και διαφοροποιημένες διαδρομές ευαλωτότητας</w:t>
            </w:r>
            <w:r>
              <w:rPr>
                <w:noProof/>
                <w:webHidden/>
              </w:rPr>
              <w:tab/>
            </w:r>
            <w:r>
              <w:rPr>
                <w:noProof/>
                <w:webHidden/>
              </w:rPr>
              <w:fldChar w:fldCharType="begin"/>
            </w:r>
            <w:r>
              <w:rPr>
                <w:noProof/>
                <w:webHidden/>
              </w:rPr>
              <w:instrText xml:space="preserve"> PAGEREF _Toc242134466 \h </w:instrText>
            </w:r>
            <w:r>
              <w:rPr>
                <w:noProof/>
                <w:webHidden/>
              </w:rPr>
            </w:r>
            <w:r>
              <w:rPr>
                <w:noProof/>
                <w:webHidden/>
              </w:rPr>
              <w:fldChar w:fldCharType="separate"/>
            </w:r>
            <w:r w:rsidR="004A674C">
              <w:rPr>
                <w:noProof/>
                <w:webHidden/>
              </w:rPr>
              <w:t>82</w:t>
            </w:r>
            <w:r>
              <w:rPr>
                <w:noProof/>
                <w:webHidden/>
              </w:rPr>
              <w:fldChar w:fldCharType="end"/>
            </w:r>
          </w:hyperlink>
        </w:p>
        <w:p w14:paraId="7EEA8497" w14:textId="4310136E"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67" w:history="1">
            <w:r w:rsidRPr="00902701">
              <w:rPr>
                <w:rStyle w:val="-"/>
                <w:noProof/>
                <w:lang w:val="el-GR"/>
              </w:rPr>
              <w:t>8.4 Πατριαρχία, έμφυλες νόρμες και κανονικοποίηση της βίας</w:t>
            </w:r>
            <w:r>
              <w:rPr>
                <w:noProof/>
                <w:webHidden/>
              </w:rPr>
              <w:tab/>
            </w:r>
            <w:r>
              <w:rPr>
                <w:noProof/>
                <w:webHidden/>
              </w:rPr>
              <w:fldChar w:fldCharType="begin"/>
            </w:r>
            <w:r>
              <w:rPr>
                <w:noProof/>
                <w:webHidden/>
              </w:rPr>
              <w:instrText xml:space="preserve"> PAGEREF _Toc242134467 \h </w:instrText>
            </w:r>
            <w:r>
              <w:rPr>
                <w:noProof/>
                <w:webHidden/>
              </w:rPr>
            </w:r>
            <w:r>
              <w:rPr>
                <w:noProof/>
                <w:webHidden/>
              </w:rPr>
              <w:fldChar w:fldCharType="separate"/>
            </w:r>
            <w:r w:rsidR="004A674C">
              <w:rPr>
                <w:noProof/>
                <w:webHidden/>
              </w:rPr>
              <w:t>83</w:t>
            </w:r>
            <w:r>
              <w:rPr>
                <w:noProof/>
                <w:webHidden/>
              </w:rPr>
              <w:fldChar w:fldCharType="end"/>
            </w:r>
          </w:hyperlink>
        </w:p>
        <w:p w14:paraId="05ED8CF8" w14:textId="01A73B31"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68" w:history="1">
            <w:r w:rsidRPr="00902701">
              <w:rPr>
                <w:rStyle w:val="-"/>
                <w:noProof/>
                <w:lang w:val="el-GR"/>
              </w:rPr>
              <w:t>8.5 Πρώιμο τραύμα, γονικός δεσμός και διαγενεακή μετάδοση</w:t>
            </w:r>
            <w:r>
              <w:rPr>
                <w:noProof/>
                <w:webHidden/>
              </w:rPr>
              <w:tab/>
            </w:r>
            <w:r>
              <w:rPr>
                <w:noProof/>
                <w:webHidden/>
              </w:rPr>
              <w:fldChar w:fldCharType="begin"/>
            </w:r>
            <w:r>
              <w:rPr>
                <w:noProof/>
                <w:webHidden/>
              </w:rPr>
              <w:instrText xml:space="preserve"> PAGEREF _Toc242134468 \h </w:instrText>
            </w:r>
            <w:r>
              <w:rPr>
                <w:noProof/>
                <w:webHidden/>
              </w:rPr>
            </w:r>
            <w:r>
              <w:rPr>
                <w:noProof/>
                <w:webHidden/>
              </w:rPr>
              <w:fldChar w:fldCharType="separate"/>
            </w:r>
            <w:r w:rsidR="004A674C">
              <w:rPr>
                <w:noProof/>
                <w:webHidden/>
              </w:rPr>
              <w:t>83</w:t>
            </w:r>
            <w:r>
              <w:rPr>
                <w:noProof/>
                <w:webHidden/>
              </w:rPr>
              <w:fldChar w:fldCharType="end"/>
            </w:r>
          </w:hyperlink>
        </w:p>
        <w:p w14:paraId="0545C02B" w14:textId="33E35BB3"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69" w:history="1">
            <w:r w:rsidRPr="00902701">
              <w:rPr>
                <w:rStyle w:val="-"/>
                <w:noProof/>
                <w:lang w:val="el-GR"/>
              </w:rPr>
              <w:t>8.6 Οι επιπτώσεις στα παιδιά: η βία ως συστημικό και διαγενεακό φαινόμενο</w:t>
            </w:r>
            <w:r>
              <w:rPr>
                <w:noProof/>
                <w:webHidden/>
              </w:rPr>
              <w:tab/>
            </w:r>
            <w:r>
              <w:rPr>
                <w:noProof/>
                <w:webHidden/>
              </w:rPr>
              <w:fldChar w:fldCharType="begin"/>
            </w:r>
            <w:r>
              <w:rPr>
                <w:noProof/>
                <w:webHidden/>
              </w:rPr>
              <w:instrText xml:space="preserve"> PAGEREF _Toc242134469 \h </w:instrText>
            </w:r>
            <w:r>
              <w:rPr>
                <w:noProof/>
                <w:webHidden/>
              </w:rPr>
            </w:r>
            <w:r>
              <w:rPr>
                <w:noProof/>
                <w:webHidden/>
              </w:rPr>
              <w:fldChar w:fldCharType="separate"/>
            </w:r>
            <w:r w:rsidR="004A674C">
              <w:rPr>
                <w:noProof/>
                <w:webHidden/>
              </w:rPr>
              <w:t>84</w:t>
            </w:r>
            <w:r>
              <w:rPr>
                <w:noProof/>
                <w:webHidden/>
              </w:rPr>
              <w:fldChar w:fldCharType="end"/>
            </w:r>
          </w:hyperlink>
        </w:p>
        <w:p w14:paraId="5FE9DC54" w14:textId="5603D596"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70" w:history="1">
            <w:r w:rsidRPr="00902701">
              <w:rPr>
                <w:rStyle w:val="-"/>
                <w:noProof/>
                <w:lang w:val="el-GR"/>
              </w:rPr>
              <w:t>8.7 Βία μετά τον χωρισμό, θεσμική ανταπόκριση και επανατραυματισμός</w:t>
            </w:r>
            <w:r>
              <w:rPr>
                <w:noProof/>
                <w:webHidden/>
              </w:rPr>
              <w:tab/>
            </w:r>
            <w:r>
              <w:rPr>
                <w:noProof/>
                <w:webHidden/>
              </w:rPr>
              <w:fldChar w:fldCharType="begin"/>
            </w:r>
            <w:r>
              <w:rPr>
                <w:noProof/>
                <w:webHidden/>
              </w:rPr>
              <w:instrText xml:space="preserve"> PAGEREF _Toc242134470 \h </w:instrText>
            </w:r>
            <w:r>
              <w:rPr>
                <w:noProof/>
                <w:webHidden/>
              </w:rPr>
            </w:r>
            <w:r>
              <w:rPr>
                <w:noProof/>
                <w:webHidden/>
              </w:rPr>
              <w:fldChar w:fldCharType="separate"/>
            </w:r>
            <w:r w:rsidR="004A674C">
              <w:rPr>
                <w:noProof/>
                <w:webHidden/>
              </w:rPr>
              <w:t>85</w:t>
            </w:r>
            <w:r>
              <w:rPr>
                <w:noProof/>
                <w:webHidden/>
              </w:rPr>
              <w:fldChar w:fldCharType="end"/>
            </w:r>
          </w:hyperlink>
        </w:p>
        <w:p w14:paraId="29B670E3" w14:textId="7F552C4E"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71" w:history="1">
            <w:r w:rsidRPr="00902701">
              <w:rPr>
                <w:rStyle w:val="-"/>
                <w:noProof/>
                <w:lang w:val="el-GR"/>
              </w:rPr>
              <w:t>8.8 Στρατηγικές αντιμετώπισης, ανθεκτικότητα και μετατραυματική ανάπτυξη</w:t>
            </w:r>
            <w:r>
              <w:rPr>
                <w:noProof/>
                <w:webHidden/>
              </w:rPr>
              <w:tab/>
            </w:r>
            <w:r>
              <w:rPr>
                <w:noProof/>
                <w:webHidden/>
              </w:rPr>
              <w:fldChar w:fldCharType="begin"/>
            </w:r>
            <w:r>
              <w:rPr>
                <w:noProof/>
                <w:webHidden/>
              </w:rPr>
              <w:instrText xml:space="preserve"> PAGEREF _Toc242134471 \h </w:instrText>
            </w:r>
            <w:r>
              <w:rPr>
                <w:noProof/>
                <w:webHidden/>
              </w:rPr>
            </w:r>
            <w:r>
              <w:rPr>
                <w:noProof/>
                <w:webHidden/>
              </w:rPr>
              <w:fldChar w:fldCharType="separate"/>
            </w:r>
            <w:r w:rsidR="004A674C">
              <w:rPr>
                <w:noProof/>
                <w:webHidden/>
              </w:rPr>
              <w:t>86</w:t>
            </w:r>
            <w:r>
              <w:rPr>
                <w:noProof/>
                <w:webHidden/>
              </w:rPr>
              <w:fldChar w:fldCharType="end"/>
            </w:r>
          </w:hyperlink>
        </w:p>
        <w:p w14:paraId="57157D4B" w14:textId="4C447F80"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72" w:history="1">
            <w:r w:rsidRPr="00902701">
              <w:rPr>
                <w:rStyle w:val="-"/>
                <w:noProof/>
                <w:lang w:val="el-GR"/>
              </w:rPr>
              <w:t>8.9 Σύνθεση των ευρημάτων της μεικτής μεθοδολογίας</w:t>
            </w:r>
            <w:r>
              <w:rPr>
                <w:noProof/>
                <w:webHidden/>
              </w:rPr>
              <w:tab/>
            </w:r>
            <w:r>
              <w:rPr>
                <w:noProof/>
                <w:webHidden/>
              </w:rPr>
              <w:fldChar w:fldCharType="begin"/>
            </w:r>
            <w:r>
              <w:rPr>
                <w:noProof/>
                <w:webHidden/>
              </w:rPr>
              <w:instrText xml:space="preserve"> PAGEREF _Toc242134472 \h </w:instrText>
            </w:r>
            <w:r>
              <w:rPr>
                <w:noProof/>
                <w:webHidden/>
              </w:rPr>
            </w:r>
            <w:r>
              <w:rPr>
                <w:noProof/>
                <w:webHidden/>
              </w:rPr>
              <w:fldChar w:fldCharType="separate"/>
            </w:r>
            <w:r w:rsidR="004A674C">
              <w:rPr>
                <w:noProof/>
                <w:webHidden/>
              </w:rPr>
              <w:t>86</w:t>
            </w:r>
            <w:r>
              <w:rPr>
                <w:noProof/>
                <w:webHidden/>
              </w:rPr>
              <w:fldChar w:fldCharType="end"/>
            </w:r>
          </w:hyperlink>
        </w:p>
        <w:p w14:paraId="6E74955D" w14:textId="6C7D19F8"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73" w:history="1">
            <w:r w:rsidRPr="00902701">
              <w:rPr>
                <w:rStyle w:val="-"/>
                <w:noProof/>
                <w:lang w:val="el-GR"/>
              </w:rPr>
              <w:t>8.10 Αναστοχαστική τοποθέτηση</w:t>
            </w:r>
            <w:r>
              <w:rPr>
                <w:noProof/>
                <w:webHidden/>
              </w:rPr>
              <w:tab/>
            </w:r>
            <w:r>
              <w:rPr>
                <w:noProof/>
                <w:webHidden/>
              </w:rPr>
              <w:fldChar w:fldCharType="begin"/>
            </w:r>
            <w:r>
              <w:rPr>
                <w:noProof/>
                <w:webHidden/>
              </w:rPr>
              <w:instrText xml:space="preserve"> PAGEREF _Toc242134473 \h </w:instrText>
            </w:r>
            <w:r>
              <w:rPr>
                <w:noProof/>
                <w:webHidden/>
              </w:rPr>
            </w:r>
            <w:r>
              <w:rPr>
                <w:noProof/>
                <w:webHidden/>
              </w:rPr>
              <w:fldChar w:fldCharType="separate"/>
            </w:r>
            <w:r w:rsidR="004A674C">
              <w:rPr>
                <w:noProof/>
                <w:webHidden/>
              </w:rPr>
              <w:t>88</w:t>
            </w:r>
            <w:r>
              <w:rPr>
                <w:noProof/>
                <w:webHidden/>
              </w:rPr>
              <w:fldChar w:fldCharType="end"/>
            </w:r>
          </w:hyperlink>
        </w:p>
        <w:p w14:paraId="0992F8F0" w14:textId="1F4697D7"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74" w:history="1">
            <w:r w:rsidRPr="00902701">
              <w:rPr>
                <w:rStyle w:val="-"/>
                <w:noProof/>
              </w:rPr>
              <w:t>8.11 Περιορισμοί</w:t>
            </w:r>
            <w:r>
              <w:rPr>
                <w:noProof/>
                <w:webHidden/>
              </w:rPr>
              <w:tab/>
            </w:r>
            <w:r>
              <w:rPr>
                <w:noProof/>
                <w:webHidden/>
              </w:rPr>
              <w:fldChar w:fldCharType="begin"/>
            </w:r>
            <w:r>
              <w:rPr>
                <w:noProof/>
                <w:webHidden/>
              </w:rPr>
              <w:instrText xml:space="preserve"> PAGEREF _Toc242134474 \h </w:instrText>
            </w:r>
            <w:r>
              <w:rPr>
                <w:noProof/>
                <w:webHidden/>
              </w:rPr>
            </w:r>
            <w:r>
              <w:rPr>
                <w:noProof/>
                <w:webHidden/>
              </w:rPr>
              <w:fldChar w:fldCharType="separate"/>
            </w:r>
            <w:r w:rsidR="004A674C">
              <w:rPr>
                <w:noProof/>
                <w:webHidden/>
              </w:rPr>
              <w:t>88</w:t>
            </w:r>
            <w:r>
              <w:rPr>
                <w:noProof/>
                <w:webHidden/>
              </w:rPr>
              <w:fldChar w:fldCharType="end"/>
            </w:r>
          </w:hyperlink>
        </w:p>
        <w:p w14:paraId="6664D53E" w14:textId="7E7F82C8" w:rsidR="000B7AA5" w:rsidRDefault="000B7AA5">
          <w:pPr>
            <w:pStyle w:val="13"/>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75" w:history="1">
            <w:r w:rsidRPr="00902701">
              <w:rPr>
                <w:rStyle w:val="-"/>
                <w:noProof/>
                <w:lang w:val="el-GR"/>
              </w:rPr>
              <w:t>9. Συμπεράσματα σε Αντιστοιχία με τους Στόχους της Έρευνας</w:t>
            </w:r>
            <w:r>
              <w:rPr>
                <w:noProof/>
                <w:webHidden/>
              </w:rPr>
              <w:tab/>
            </w:r>
            <w:r>
              <w:rPr>
                <w:noProof/>
                <w:webHidden/>
              </w:rPr>
              <w:fldChar w:fldCharType="begin"/>
            </w:r>
            <w:r>
              <w:rPr>
                <w:noProof/>
                <w:webHidden/>
              </w:rPr>
              <w:instrText xml:space="preserve"> PAGEREF _Toc242134475 \h </w:instrText>
            </w:r>
            <w:r>
              <w:rPr>
                <w:noProof/>
                <w:webHidden/>
              </w:rPr>
            </w:r>
            <w:r>
              <w:rPr>
                <w:noProof/>
                <w:webHidden/>
              </w:rPr>
              <w:fldChar w:fldCharType="separate"/>
            </w:r>
            <w:r w:rsidR="004A674C">
              <w:rPr>
                <w:noProof/>
                <w:webHidden/>
              </w:rPr>
              <w:t>90</w:t>
            </w:r>
            <w:r>
              <w:rPr>
                <w:noProof/>
                <w:webHidden/>
              </w:rPr>
              <w:fldChar w:fldCharType="end"/>
            </w:r>
          </w:hyperlink>
        </w:p>
        <w:p w14:paraId="4555A55B" w14:textId="4F49214E"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76" w:history="1">
            <w:r w:rsidRPr="00902701">
              <w:rPr>
                <w:rStyle w:val="-"/>
                <w:noProof/>
                <w:lang w:val="el-GR"/>
              </w:rPr>
              <w:t>9.1 Ο σκοπός: κατανόηση του τραύματος, της μετάδοσής του και της σχέσης του με τη μετατραυματική ανάπτυξη</w:t>
            </w:r>
            <w:r>
              <w:rPr>
                <w:noProof/>
                <w:webHidden/>
              </w:rPr>
              <w:tab/>
            </w:r>
            <w:r>
              <w:rPr>
                <w:noProof/>
                <w:webHidden/>
              </w:rPr>
              <w:fldChar w:fldCharType="begin"/>
            </w:r>
            <w:r>
              <w:rPr>
                <w:noProof/>
                <w:webHidden/>
              </w:rPr>
              <w:instrText xml:space="preserve"> PAGEREF _Toc242134476 \h </w:instrText>
            </w:r>
            <w:r>
              <w:rPr>
                <w:noProof/>
                <w:webHidden/>
              </w:rPr>
            </w:r>
            <w:r>
              <w:rPr>
                <w:noProof/>
                <w:webHidden/>
              </w:rPr>
              <w:fldChar w:fldCharType="separate"/>
            </w:r>
            <w:r w:rsidR="004A674C">
              <w:rPr>
                <w:noProof/>
                <w:webHidden/>
              </w:rPr>
              <w:t>90</w:t>
            </w:r>
            <w:r>
              <w:rPr>
                <w:noProof/>
                <w:webHidden/>
              </w:rPr>
              <w:fldChar w:fldCharType="end"/>
            </w:r>
          </w:hyperlink>
        </w:p>
        <w:p w14:paraId="01B57B3D" w14:textId="73C8E073"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77" w:history="1">
            <w:r w:rsidRPr="00902701">
              <w:rPr>
                <w:rStyle w:val="-"/>
                <w:noProof/>
                <w:lang w:val="el-GR"/>
              </w:rPr>
              <w:t>9.2 Συμπεράσματα ανά στόχο</w:t>
            </w:r>
            <w:r>
              <w:rPr>
                <w:noProof/>
                <w:webHidden/>
              </w:rPr>
              <w:tab/>
            </w:r>
            <w:r>
              <w:rPr>
                <w:noProof/>
                <w:webHidden/>
              </w:rPr>
              <w:fldChar w:fldCharType="begin"/>
            </w:r>
            <w:r>
              <w:rPr>
                <w:noProof/>
                <w:webHidden/>
              </w:rPr>
              <w:instrText xml:space="preserve"> PAGEREF _Toc242134477 \h </w:instrText>
            </w:r>
            <w:r>
              <w:rPr>
                <w:noProof/>
                <w:webHidden/>
              </w:rPr>
            </w:r>
            <w:r>
              <w:rPr>
                <w:noProof/>
                <w:webHidden/>
              </w:rPr>
              <w:fldChar w:fldCharType="separate"/>
            </w:r>
            <w:r w:rsidR="004A674C">
              <w:rPr>
                <w:noProof/>
                <w:webHidden/>
              </w:rPr>
              <w:t>90</w:t>
            </w:r>
            <w:r>
              <w:rPr>
                <w:noProof/>
                <w:webHidden/>
              </w:rPr>
              <w:fldChar w:fldCharType="end"/>
            </w:r>
          </w:hyperlink>
        </w:p>
        <w:p w14:paraId="2A458B35" w14:textId="4527DF0A"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78" w:history="1">
            <w:r w:rsidRPr="00902701">
              <w:rPr>
                <w:rStyle w:val="-"/>
                <w:noProof/>
                <w:lang w:val="el-GR"/>
              </w:rPr>
              <w:t>9.3 Τα βασικά συμπεράσματα της έρευνας</w:t>
            </w:r>
            <w:r>
              <w:rPr>
                <w:noProof/>
                <w:webHidden/>
              </w:rPr>
              <w:tab/>
            </w:r>
            <w:r>
              <w:rPr>
                <w:noProof/>
                <w:webHidden/>
              </w:rPr>
              <w:fldChar w:fldCharType="begin"/>
            </w:r>
            <w:r>
              <w:rPr>
                <w:noProof/>
                <w:webHidden/>
              </w:rPr>
              <w:instrText xml:space="preserve"> PAGEREF _Toc242134478 \h </w:instrText>
            </w:r>
            <w:r>
              <w:rPr>
                <w:noProof/>
                <w:webHidden/>
              </w:rPr>
            </w:r>
            <w:r>
              <w:rPr>
                <w:noProof/>
                <w:webHidden/>
              </w:rPr>
              <w:fldChar w:fldCharType="separate"/>
            </w:r>
            <w:r w:rsidR="004A674C">
              <w:rPr>
                <w:noProof/>
                <w:webHidden/>
              </w:rPr>
              <w:t>93</w:t>
            </w:r>
            <w:r>
              <w:rPr>
                <w:noProof/>
                <w:webHidden/>
              </w:rPr>
              <w:fldChar w:fldCharType="end"/>
            </w:r>
          </w:hyperlink>
        </w:p>
        <w:p w14:paraId="48FA4500" w14:textId="2B99755B" w:rsidR="000B7AA5" w:rsidRDefault="000B7AA5">
          <w:pPr>
            <w:pStyle w:val="13"/>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79" w:history="1">
            <w:r w:rsidRPr="00902701">
              <w:rPr>
                <w:rStyle w:val="-"/>
                <w:noProof/>
                <w:lang w:val="el-GR"/>
              </w:rPr>
              <w:t>10. Προτάσεις Παρέμβασης ανά Ομάδα-Στόχο</w:t>
            </w:r>
            <w:r>
              <w:rPr>
                <w:noProof/>
                <w:webHidden/>
              </w:rPr>
              <w:tab/>
            </w:r>
            <w:r>
              <w:rPr>
                <w:noProof/>
                <w:webHidden/>
              </w:rPr>
              <w:fldChar w:fldCharType="begin"/>
            </w:r>
            <w:r>
              <w:rPr>
                <w:noProof/>
                <w:webHidden/>
              </w:rPr>
              <w:instrText xml:space="preserve"> PAGEREF _Toc242134479 \h </w:instrText>
            </w:r>
            <w:r>
              <w:rPr>
                <w:noProof/>
                <w:webHidden/>
              </w:rPr>
            </w:r>
            <w:r>
              <w:rPr>
                <w:noProof/>
                <w:webHidden/>
              </w:rPr>
              <w:fldChar w:fldCharType="separate"/>
            </w:r>
            <w:r w:rsidR="004A674C">
              <w:rPr>
                <w:noProof/>
                <w:webHidden/>
              </w:rPr>
              <w:t>95</w:t>
            </w:r>
            <w:r>
              <w:rPr>
                <w:noProof/>
                <w:webHidden/>
              </w:rPr>
              <w:fldChar w:fldCharType="end"/>
            </w:r>
          </w:hyperlink>
        </w:p>
        <w:p w14:paraId="4435EC30" w14:textId="3447EFE6"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80" w:history="1">
            <w:r w:rsidRPr="00902701">
              <w:rPr>
                <w:rStyle w:val="-"/>
                <w:noProof/>
                <w:lang w:val="el-GR"/>
              </w:rPr>
              <w:t>10.1 Για τις επιζώσες γυναίκες</w:t>
            </w:r>
            <w:r>
              <w:rPr>
                <w:noProof/>
                <w:webHidden/>
              </w:rPr>
              <w:tab/>
            </w:r>
            <w:r>
              <w:rPr>
                <w:noProof/>
                <w:webHidden/>
              </w:rPr>
              <w:fldChar w:fldCharType="begin"/>
            </w:r>
            <w:r>
              <w:rPr>
                <w:noProof/>
                <w:webHidden/>
              </w:rPr>
              <w:instrText xml:space="preserve"> PAGEREF _Toc242134480 \h </w:instrText>
            </w:r>
            <w:r>
              <w:rPr>
                <w:noProof/>
                <w:webHidden/>
              </w:rPr>
            </w:r>
            <w:r>
              <w:rPr>
                <w:noProof/>
                <w:webHidden/>
              </w:rPr>
              <w:fldChar w:fldCharType="separate"/>
            </w:r>
            <w:r w:rsidR="004A674C">
              <w:rPr>
                <w:noProof/>
                <w:webHidden/>
              </w:rPr>
              <w:t>95</w:t>
            </w:r>
            <w:r>
              <w:rPr>
                <w:noProof/>
                <w:webHidden/>
              </w:rPr>
              <w:fldChar w:fldCharType="end"/>
            </w:r>
          </w:hyperlink>
        </w:p>
        <w:p w14:paraId="63B2C973" w14:textId="7A9084BD"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81" w:history="1">
            <w:r w:rsidRPr="00902701">
              <w:rPr>
                <w:rStyle w:val="-"/>
                <w:noProof/>
                <w:lang w:val="el-GR"/>
              </w:rPr>
              <w:t>10.2 Για τα παιδιά και τη σχέση μητέρας–παιδιού</w:t>
            </w:r>
            <w:r>
              <w:rPr>
                <w:noProof/>
                <w:webHidden/>
              </w:rPr>
              <w:tab/>
            </w:r>
            <w:r>
              <w:rPr>
                <w:noProof/>
                <w:webHidden/>
              </w:rPr>
              <w:fldChar w:fldCharType="begin"/>
            </w:r>
            <w:r>
              <w:rPr>
                <w:noProof/>
                <w:webHidden/>
              </w:rPr>
              <w:instrText xml:space="preserve"> PAGEREF _Toc242134481 \h </w:instrText>
            </w:r>
            <w:r>
              <w:rPr>
                <w:noProof/>
                <w:webHidden/>
              </w:rPr>
            </w:r>
            <w:r>
              <w:rPr>
                <w:noProof/>
                <w:webHidden/>
              </w:rPr>
              <w:fldChar w:fldCharType="separate"/>
            </w:r>
            <w:r w:rsidR="004A674C">
              <w:rPr>
                <w:noProof/>
                <w:webHidden/>
              </w:rPr>
              <w:t>96</w:t>
            </w:r>
            <w:r>
              <w:rPr>
                <w:noProof/>
                <w:webHidden/>
              </w:rPr>
              <w:fldChar w:fldCharType="end"/>
            </w:r>
          </w:hyperlink>
        </w:p>
        <w:p w14:paraId="5CE71CB7" w14:textId="042B9F54"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82" w:history="1">
            <w:r w:rsidRPr="00902701">
              <w:rPr>
                <w:rStyle w:val="-"/>
                <w:noProof/>
                <w:lang w:val="el-GR"/>
              </w:rPr>
              <w:t>10.3 Για τις μετανάστριες και προσφύγισσες</w:t>
            </w:r>
            <w:r>
              <w:rPr>
                <w:noProof/>
                <w:webHidden/>
              </w:rPr>
              <w:tab/>
            </w:r>
            <w:r>
              <w:rPr>
                <w:noProof/>
                <w:webHidden/>
              </w:rPr>
              <w:fldChar w:fldCharType="begin"/>
            </w:r>
            <w:r>
              <w:rPr>
                <w:noProof/>
                <w:webHidden/>
              </w:rPr>
              <w:instrText xml:space="preserve"> PAGEREF _Toc242134482 \h </w:instrText>
            </w:r>
            <w:r>
              <w:rPr>
                <w:noProof/>
                <w:webHidden/>
              </w:rPr>
            </w:r>
            <w:r>
              <w:rPr>
                <w:noProof/>
                <w:webHidden/>
              </w:rPr>
              <w:fldChar w:fldCharType="separate"/>
            </w:r>
            <w:r w:rsidR="004A674C">
              <w:rPr>
                <w:noProof/>
                <w:webHidden/>
              </w:rPr>
              <w:t>97</w:t>
            </w:r>
            <w:r>
              <w:rPr>
                <w:noProof/>
                <w:webHidden/>
              </w:rPr>
              <w:fldChar w:fldCharType="end"/>
            </w:r>
          </w:hyperlink>
        </w:p>
        <w:p w14:paraId="29456D73" w14:textId="51428DC7"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83" w:history="1">
            <w:r w:rsidRPr="00902701">
              <w:rPr>
                <w:rStyle w:val="-"/>
                <w:noProof/>
                <w:lang w:val="el-GR"/>
              </w:rPr>
              <w:t>10.4 Για τους δράστες</w:t>
            </w:r>
            <w:r>
              <w:rPr>
                <w:noProof/>
                <w:webHidden/>
              </w:rPr>
              <w:tab/>
            </w:r>
            <w:r>
              <w:rPr>
                <w:noProof/>
                <w:webHidden/>
              </w:rPr>
              <w:fldChar w:fldCharType="begin"/>
            </w:r>
            <w:r>
              <w:rPr>
                <w:noProof/>
                <w:webHidden/>
              </w:rPr>
              <w:instrText xml:space="preserve"> PAGEREF _Toc242134483 \h </w:instrText>
            </w:r>
            <w:r>
              <w:rPr>
                <w:noProof/>
                <w:webHidden/>
              </w:rPr>
            </w:r>
            <w:r>
              <w:rPr>
                <w:noProof/>
                <w:webHidden/>
              </w:rPr>
              <w:fldChar w:fldCharType="separate"/>
            </w:r>
            <w:r w:rsidR="004A674C">
              <w:rPr>
                <w:noProof/>
                <w:webHidden/>
              </w:rPr>
              <w:t>97</w:t>
            </w:r>
            <w:r>
              <w:rPr>
                <w:noProof/>
                <w:webHidden/>
              </w:rPr>
              <w:fldChar w:fldCharType="end"/>
            </w:r>
          </w:hyperlink>
        </w:p>
        <w:p w14:paraId="6784ADDD" w14:textId="74AD15E7"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84" w:history="1">
            <w:r w:rsidRPr="00902701">
              <w:rPr>
                <w:rStyle w:val="-"/>
                <w:noProof/>
                <w:lang w:val="el-GR"/>
              </w:rPr>
              <w:t>10.5 Για τις υπηρεσίες και τους/τις επαγγελματίες</w:t>
            </w:r>
            <w:r>
              <w:rPr>
                <w:noProof/>
                <w:webHidden/>
              </w:rPr>
              <w:tab/>
            </w:r>
            <w:r>
              <w:rPr>
                <w:noProof/>
                <w:webHidden/>
              </w:rPr>
              <w:fldChar w:fldCharType="begin"/>
            </w:r>
            <w:r>
              <w:rPr>
                <w:noProof/>
                <w:webHidden/>
              </w:rPr>
              <w:instrText xml:space="preserve"> PAGEREF _Toc242134484 \h </w:instrText>
            </w:r>
            <w:r>
              <w:rPr>
                <w:noProof/>
                <w:webHidden/>
              </w:rPr>
            </w:r>
            <w:r>
              <w:rPr>
                <w:noProof/>
                <w:webHidden/>
              </w:rPr>
              <w:fldChar w:fldCharType="separate"/>
            </w:r>
            <w:r w:rsidR="004A674C">
              <w:rPr>
                <w:noProof/>
                <w:webHidden/>
              </w:rPr>
              <w:t>97</w:t>
            </w:r>
            <w:r>
              <w:rPr>
                <w:noProof/>
                <w:webHidden/>
              </w:rPr>
              <w:fldChar w:fldCharType="end"/>
            </w:r>
          </w:hyperlink>
        </w:p>
        <w:p w14:paraId="680EF65D" w14:textId="1D213B00"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85" w:history="1">
            <w:r w:rsidRPr="00902701">
              <w:rPr>
                <w:rStyle w:val="-"/>
                <w:noProof/>
                <w:lang w:val="el-GR"/>
              </w:rPr>
              <w:t>10.6 Για το σχολείο και την κοινότητα</w:t>
            </w:r>
            <w:r>
              <w:rPr>
                <w:noProof/>
                <w:webHidden/>
              </w:rPr>
              <w:tab/>
            </w:r>
            <w:r>
              <w:rPr>
                <w:noProof/>
                <w:webHidden/>
              </w:rPr>
              <w:fldChar w:fldCharType="begin"/>
            </w:r>
            <w:r>
              <w:rPr>
                <w:noProof/>
                <w:webHidden/>
              </w:rPr>
              <w:instrText xml:space="preserve"> PAGEREF _Toc242134485 \h </w:instrText>
            </w:r>
            <w:r>
              <w:rPr>
                <w:noProof/>
                <w:webHidden/>
              </w:rPr>
            </w:r>
            <w:r>
              <w:rPr>
                <w:noProof/>
                <w:webHidden/>
              </w:rPr>
              <w:fldChar w:fldCharType="separate"/>
            </w:r>
            <w:r w:rsidR="004A674C">
              <w:rPr>
                <w:noProof/>
                <w:webHidden/>
              </w:rPr>
              <w:t>98</w:t>
            </w:r>
            <w:r>
              <w:rPr>
                <w:noProof/>
                <w:webHidden/>
              </w:rPr>
              <w:fldChar w:fldCharType="end"/>
            </w:r>
          </w:hyperlink>
        </w:p>
        <w:p w14:paraId="210E2A06" w14:textId="3F72C2CB"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86" w:history="1">
            <w:r w:rsidRPr="00902701">
              <w:rPr>
                <w:rStyle w:val="-"/>
                <w:noProof/>
                <w:lang w:val="el-GR"/>
              </w:rPr>
              <w:t>10.7 Προτάσεις πολιτικής σε εθνικό επίπεδο</w:t>
            </w:r>
            <w:r>
              <w:rPr>
                <w:noProof/>
                <w:webHidden/>
              </w:rPr>
              <w:tab/>
            </w:r>
            <w:r>
              <w:rPr>
                <w:noProof/>
                <w:webHidden/>
              </w:rPr>
              <w:fldChar w:fldCharType="begin"/>
            </w:r>
            <w:r>
              <w:rPr>
                <w:noProof/>
                <w:webHidden/>
              </w:rPr>
              <w:instrText xml:space="preserve"> PAGEREF _Toc242134486 \h </w:instrText>
            </w:r>
            <w:r>
              <w:rPr>
                <w:noProof/>
                <w:webHidden/>
              </w:rPr>
            </w:r>
            <w:r>
              <w:rPr>
                <w:noProof/>
                <w:webHidden/>
              </w:rPr>
              <w:fldChar w:fldCharType="separate"/>
            </w:r>
            <w:r w:rsidR="004A674C">
              <w:rPr>
                <w:noProof/>
                <w:webHidden/>
              </w:rPr>
              <w:t>99</w:t>
            </w:r>
            <w:r>
              <w:rPr>
                <w:noProof/>
                <w:webHidden/>
              </w:rPr>
              <w:fldChar w:fldCharType="end"/>
            </w:r>
          </w:hyperlink>
        </w:p>
        <w:p w14:paraId="376EF2A9" w14:textId="2CB5E2F4"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87" w:history="1">
            <w:r w:rsidRPr="00902701">
              <w:rPr>
                <w:rStyle w:val="-"/>
                <w:noProof/>
                <w:lang w:val="el-GR"/>
              </w:rPr>
              <w:t>10.8 Οι προτάσεις των ίδιων των επιζωσών</w:t>
            </w:r>
            <w:r>
              <w:rPr>
                <w:noProof/>
                <w:webHidden/>
              </w:rPr>
              <w:tab/>
            </w:r>
            <w:r>
              <w:rPr>
                <w:noProof/>
                <w:webHidden/>
              </w:rPr>
              <w:fldChar w:fldCharType="begin"/>
            </w:r>
            <w:r>
              <w:rPr>
                <w:noProof/>
                <w:webHidden/>
              </w:rPr>
              <w:instrText xml:space="preserve"> PAGEREF _Toc242134487 \h </w:instrText>
            </w:r>
            <w:r>
              <w:rPr>
                <w:noProof/>
                <w:webHidden/>
              </w:rPr>
            </w:r>
            <w:r>
              <w:rPr>
                <w:noProof/>
                <w:webHidden/>
              </w:rPr>
              <w:fldChar w:fldCharType="separate"/>
            </w:r>
            <w:r w:rsidR="004A674C">
              <w:rPr>
                <w:noProof/>
                <w:webHidden/>
              </w:rPr>
              <w:t>100</w:t>
            </w:r>
            <w:r>
              <w:rPr>
                <w:noProof/>
                <w:webHidden/>
              </w:rPr>
              <w:fldChar w:fldCharType="end"/>
            </w:r>
          </w:hyperlink>
        </w:p>
        <w:p w14:paraId="36600600" w14:textId="4F273A82" w:rsidR="000B7AA5" w:rsidRDefault="000B7AA5">
          <w:pPr>
            <w:pStyle w:val="13"/>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88" w:history="1">
            <w:r w:rsidRPr="00902701">
              <w:rPr>
                <w:rStyle w:val="-"/>
                <w:noProof/>
                <w:lang w:val="el-GR"/>
              </w:rPr>
              <w:t>Βιβλιογραφία</w:t>
            </w:r>
            <w:r>
              <w:rPr>
                <w:noProof/>
                <w:webHidden/>
              </w:rPr>
              <w:tab/>
            </w:r>
            <w:r>
              <w:rPr>
                <w:noProof/>
                <w:webHidden/>
              </w:rPr>
              <w:fldChar w:fldCharType="begin"/>
            </w:r>
            <w:r>
              <w:rPr>
                <w:noProof/>
                <w:webHidden/>
              </w:rPr>
              <w:instrText xml:space="preserve"> PAGEREF _Toc242134488 \h </w:instrText>
            </w:r>
            <w:r>
              <w:rPr>
                <w:noProof/>
                <w:webHidden/>
              </w:rPr>
            </w:r>
            <w:r>
              <w:rPr>
                <w:noProof/>
                <w:webHidden/>
              </w:rPr>
              <w:fldChar w:fldCharType="separate"/>
            </w:r>
            <w:r w:rsidR="004A674C">
              <w:rPr>
                <w:noProof/>
                <w:webHidden/>
              </w:rPr>
              <w:t>102</w:t>
            </w:r>
            <w:r>
              <w:rPr>
                <w:noProof/>
                <w:webHidden/>
              </w:rPr>
              <w:fldChar w:fldCharType="end"/>
            </w:r>
          </w:hyperlink>
        </w:p>
        <w:p w14:paraId="1CD30837" w14:textId="22307E30"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89" w:history="1">
            <w:r w:rsidRPr="00902701">
              <w:rPr>
                <w:rStyle w:val="-"/>
                <w:noProof/>
                <w:lang w:val="el-GR"/>
              </w:rPr>
              <w:t>Ελληνόγλωσση</w:t>
            </w:r>
            <w:r>
              <w:rPr>
                <w:noProof/>
                <w:webHidden/>
              </w:rPr>
              <w:tab/>
            </w:r>
            <w:r>
              <w:rPr>
                <w:noProof/>
                <w:webHidden/>
              </w:rPr>
              <w:fldChar w:fldCharType="begin"/>
            </w:r>
            <w:r>
              <w:rPr>
                <w:noProof/>
                <w:webHidden/>
              </w:rPr>
              <w:instrText xml:space="preserve"> PAGEREF _Toc242134489 \h </w:instrText>
            </w:r>
            <w:r>
              <w:rPr>
                <w:noProof/>
                <w:webHidden/>
              </w:rPr>
            </w:r>
            <w:r>
              <w:rPr>
                <w:noProof/>
                <w:webHidden/>
              </w:rPr>
              <w:fldChar w:fldCharType="separate"/>
            </w:r>
            <w:r w:rsidR="004A674C">
              <w:rPr>
                <w:noProof/>
                <w:webHidden/>
              </w:rPr>
              <w:t>102</w:t>
            </w:r>
            <w:r>
              <w:rPr>
                <w:noProof/>
                <w:webHidden/>
              </w:rPr>
              <w:fldChar w:fldCharType="end"/>
            </w:r>
          </w:hyperlink>
        </w:p>
        <w:p w14:paraId="66EEF421" w14:textId="1073D57B"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90" w:history="1">
            <w:r w:rsidRPr="00902701">
              <w:rPr>
                <w:rStyle w:val="-"/>
                <w:noProof/>
                <w:lang w:val="el-GR"/>
              </w:rPr>
              <w:t>Ξενόγλωσση</w:t>
            </w:r>
            <w:r>
              <w:rPr>
                <w:noProof/>
                <w:webHidden/>
              </w:rPr>
              <w:tab/>
            </w:r>
            <w:r>
              <w:rPr>
                <w:noProof/>
                <w:webHidden/>
              </w:rPr>
              <w:fldChar w:fldCharType="begin"/>
            </w:r>
            <w:r>
              <w:rPr>
                <w:noProof/>
                <w:webHidden/>
              </w:rPr>
              <w:instrText xml:space="preserve"> PAGEREF _Toc242134490 \h </w:instrText>
            </w:r>
            <w:r>
              <w:rPr>
                <w:noProof/>
                <w:webHidden/>
              </w:rPr>
            </w:r>
            <w:r>
              <w:rPr>
                <w:noProof/>
                <w:webHidden/>
              </w:rPr>
              <w:fldChar w:fldCharType="separate"/>
            </w:r>
            <w:r w:rsidR="004A674C">
              <w:rPr>
                <w:noProof/>
                <w:webHidden/>
              </w:rPr>
              <w:t>102</w:t>
            </w:r>
            <w:r>
              <w:rPr>
                <w:noProof/>
                <w:webHidden/>
              </w:rPr>
              <w:fldChar w:fldCharType="end"/>
            </w:r>
          </w:hyperlink>
        </w:p>
        <w:p w14:paraId="78188122" w14:textId="6D5CBC2E" w:rsidR="000B7AA5" w:rsidRDefault="000B7AA5">
          <w:pPr>
            <w:pStyle w:val="28"/>
            <w:tabs>
              <w:tab w:val="right" w:leader="dot" w:pos="9062"/>
            </w:tabs>
            <w:rPr>
              <w:rFonts w:asciiTheme="minorHAnsi" w:eastAsiaTheme="minorEastAsia" w:hAnsiTheme="minorHAnsi" w:cstheme="minorBidi"/>
              <w:noProof/>
              <w:kern w:val="2"/>
              <w:sz w:val="24"/>
              <w:szCs w:val="24"/>
              <w:lang w:val="el-GR"/>
              <w14:ligatures w14:val="standardContextual"/>
            </w:rPr>
          </w:pPr>
          <w:hyperlink w:anchor="_Toc242134491" w:history="1">
            <w:r w:rsidRPr="00902701">
              <w:rPr>
                <w:rStyle w:val="-"/>
                <w:noProof/>
                <w:lang w:val="el-GR"/>
              </w:rPr>
              <w:t>Νομοθετικά</w:t>
            </w:r>
            <w:r w:rsidRPr="00902701">
              <w:rPr>
                <w:rStyle w:val="-"/>
                <w:noProof/>
                <w:lang w:val="en-US"/>
              </w:rPr>
              <w:t xml:space="preserve"> </w:t>
            </w:r>
            <w:r w:rsidRPr="00902701">
              <w:rPr>
                <w:rStyle w:val="-"/>
                <w:noProof/>
                <w:lang w:val="el-GR"/>
              </w:rPr>
              <w:t>κείμενα</w:t>
            </w:r>
            <w:r>
              <w:rPr>
                <w:noProof/>
                <w:webHidden/>
              </w:rPr>
              <w:tab/>
            </w:r>
            <w:r>
              <w:rPr>
                <w:noProof/>
                <w:webHidden/>
              </w:rPr>
              <w:fldChar w:fldCharType="begin"/>
            </w:r>
            <w:r>
              <w:rPr>
                <w:noProof/>
                <w:webHidden/>
              </w:rPr>
              <w:instrText xml:space="preserve"> PAGEREF _Toc242134491 \h </w:instrText>
            </w:r>
            <w:r>
              <w:rPr>
                <w:noProof/>
                <w:webHidden/>
              </w:rPr>
            </w:r>
            <w:r>
              <w:rPr>
                <w:noProof/>
                <w:webHidden/>
              </w:rPr>
              <w:fldChar w:fldCharType="separate"/>
            </w:r>
            <w:r w:rsidR="004A674C">
              <w:rPr>
                <w:noProof/>
                <w:webHidden/>
              </w:rPr>
              <w:t>120</w:t>
            </w:r>
            <w:r>
              <w:rPr>
                <w:noProof/>
                <w:webHidden/>
              </w:rPr>
              <w:fldChar w:fldCharType="end"/>
            </w:r>
          </w:hyperlink>
        </w:p>
        <w:p w14:paraId="4EE25100" w14:textId="5F1EEBD0" w:rsidR="00E63D5B" w:rsidRDefault="001F059D">
          <w:pPr>
            <w:tabs>
              <w:tab w:val="right" w:pos="9071"/>
            </w:tabs>
            <w:spacing w:after="40"/>
            <w:ind w:left="454"/>
            <w:jc w:val="left"/>
          </w:pPr>
          <w:r>
            <w:fldChar w:fldCharType="end"/>
          </w:r>
        </w:p>
      </w:sdtContent>
    </w:sdt>
    <w:p w14:paraId="5B4A4C75" w14:textId="77777777" w:rsidR="00E63D5B" w:rsidRPr="00132066" w:rsidRDefault="001F059D">
      <w:pPr>
        <w:pStyle w:val="1"/>
        <w:pageBreakBefore/>
        <w:rPr>
          <w:lang w:val="el-GR"/>
        </w:rPr>
      </w:pPr>
      <w:bookmarkStart w:id="0" w:name="_Toc242134405"/>
      <w:r>
        <w:rPr>
          <w:lang w:val="el-GR"/>
        </w:rPr>
        <w:lastRenderedPageBreak/>
        <w:t>Πρόλογος</w:t>
      </w:r>
      <w:bookmarkEnd w:id="0"/>
    </w:p>
    <w:p w14:paraId="4C640E14" w14:textId="77777777" w:rsidR="00E63D5B" w:rsidRPr="00132066" w:rsidRDefault="001F059D">
      <w:pPr>
        <w:rPr>
          <w:lang w:val="el-GR"/>
        </w:rPr>
      </w:pPr>
      <w:r>
        <w:rPr>
          <w:lang w:val="el-GR"/>
        </w:rPr>
        <w:t>Η ενδοοικογενειακή βία αποτελεί ένα από τα σοβαρότερα και πιο σύνθετα κοινωνικά προβλήματα της σύγχρονης εποχής με σημαντικές επιπτώσεις τόσο στα άμεσα θύματα όσο και στο σύνολο της κοινωνίας. Παρότι η οικογένεια θεωρείται ο βασικός πυρήνας προστασίας, ασφάλειας και συναισθηματικής ανάπτυξης του ανθρώπου, σε πολλές περιπτώσεις μετατρέπεται σε χώρο φόβου, καταπίεσης και κακοποίησης. Αυτό που καθιστά την ενδοοικογενειακή βία ιδιαιτέρως επικίνδυνη είναι το γεγονός ότι η βία που ασκείται μέσα στο οικογενειακό περιβάλλον δεν περιορίζεται αποκλειστικά στη σωματική κακοποίηση, αλλά περιλαμβάνει και την ψυχολογική, λεκτική, σεξουαλική και οικονομική βία, μορφές οι οποίες συχνά παραμένουν αθέατες και δύσκολα αναγνωρίσιμες. Είναι η αόρατη βία.</w:t>
      </w:r>
    </w:p>
    <w:p w14:paraId="357CEC7C" w14:textId="77777777" w:rsidR="00E63D5B" w:rsidRPr="00132066" w:rsidRDefault="001F059D">
      <w:pPr>
        <w:rPr>
          <w:lang w:val="el-GR"/>
        </w:rPr>
      </w:pPr>
      <w:r>
        <w:rPr>
          <w:lang w:val="el-GR"/>
        </w:rPr>
        <w:t>Η αυξημένη δημοσιοποίηση περιστατικών από τα μέσα ενημέρωσης, η ενίσχυση των δομών υποστήριξης των θυμάτων, αλλά και η μεγαλύτερη ευαισθητοποίηση της κοινωνίας έχουν συμβάλει στην ανάδειξη ενός προβλήματος που για δεκαετίες παρέμενε κρυφό πίσω από την αντίληψη ότι όσα συμβαίνουν μέσα στην οικογένεια αποτελούν ιδιωτική υπόθεση. Ωστόσο, παρά τις σημαντικές νομοθετικές παρεμβάσεις και τη λειτουργία ειδικών υπηρεσιών προστασίας, μεγάλος αριθμός περιστατικών εξακολουθεί να μην καταγγέλλεται. Ο φόβος για αντίποινα, η οικονομική εξάρτηση από τον θύτη, η ντροπή, η έλλειψη εμπιστοσύνης στους θεσμούς και τα κοινωνικά στερεότυπα αποτελούν βασικούς παράγοντες που αποτρέπουν πολλά θύματα από το να αναζητήσουν βοήθεια.</w:t>
      </w:r>
    </w:p>
    <w:p w14:paraId="14891503" w14:textId="77777777" w:rsidR="00E63D5B" w:rsidRPr="00132066" w:rsidRDefault="001F059D">
      <w:pPr>
        <w:rPr>
          <w:lang w:val="el-GR"/>
        </w:rPr>
      </w:pPr>
      <w:r>
        <w:rPr>
          <w:lang w:val="el-GR"/>
        </w:rPr>
        <w:t>Περαιτέρω, ένας λόγος που κάνει την ενδοοικογενειακή βία ένα από τα σοβαρότερα κοινωνικά και υγειονομικά προβλήματα παγκοσμίως, καθώς επηρεάζει ασφαλώς σοβαρά τα άμεσα θύματα, στη συντριπτική πλειοψηφία τις γυναίκες, είναι και η έκθεση των παιδιών στην ενδοοικογενειακή βία, που μεγαλώνουν σε ένα περιβάλλον βίας και φόβου. Η έκθεσή τους αυτή συνδέεται με αυξημένο κίνδυνο εμφάνισης ψυχικών διαταραχών, δυσκολιών στη συναισθηματική ρύθμιση, προβλημάτων συμπεριφοράς και διαταραχών στις διαπροσωπικές σχέσεις κατά την παιδική και ενήλικη ζωή. ‘</w:t>
      </w:r>
      <w:proofErr w:type="spellStart"/>
      <w:r>
        <w:rPr>
          <w:lang w:val="el-GR"/>
        </w:rPr>
        <w:t>Ετσι</w:t>
      </w:r>
      <w:proofErr w:type="spellEnd"/>
      <w:r>
        <w:rPr>
          <w:lang w:val="el-GR"/>
        </w:rPr>
        <w:t xml:space="preserve">, τα τελευταία χρόνια, η επιστημονική κοινότητα έχει στρέψει το ενδιαφέρον της στη </w:t>
      </w:r>
      <w:proofErr w:type="spellStart"/>
      <w:r>
        <w:rPr>
          <w:i/>
          <w:iCs/>
          <w:lang w:val="el-GR"/>
        </w:rPr>
        <w:t>διαγενεακή</w:t>
      </w:r>
      <w:proofErr w:type="spellEnd"/>
      <w:r>
        <w:rPr>
          <w:i/>
          <w:iCs/>
          <w:lang w:val="el-GR"/>
        </w:rPr>
        <w:t xml:space="preserve"> μετάδοση του τραύματος</w:t>
      </w:r>
      <w:r>
        <w:rPr>
          <w:lang w:val="el-GR"/>
        </w:rPr>
        <w:t xml:space="preserve"> δηλαδή στη διαδικασία μέσω της οποίας οι τραυματικές εμπειρίες ενός γονέα δύνανται να επηρεάσουν τη βιολογική, ψυχολογική και κοινωνική ανάπτυξη των παιδιών του. Ειδικότερα, όταν η μητέρα έχει υπάρξει θύμα ενδοοικογενειακής βίας, το μη επεξεργασμένο τραύμα της μπορεί να επηρεάσει την ποιότητα του συναισθηματικού δεσμού, τη γονεϊκή ανταπόκριση, τη συναισθηματική διαθεσιμότητα και τη συνολική ψυχική ανάπτυξη του παιδιού. Σύγχρονες μελέτες υποδεικνύουν ότι η μετάδοση του τραύματος δεν πραγματοποιείται μόνο μέσω της κοινωνικής μάθησης και των οικογενειακών αλληλεπιδράσεων, αλλά πιθανόν και μέσω </w:t>
      </w:r>
      <w:proofErr w:type="spellStart"/>
      <w:r>
        <w:rPr>
          <w:lang w:val="el-GR"/>
        </w:rPr>
        <w:t>νευροβιολογικών</w:t>
      </w:r>
      <w:proofErr w:type="spellEnd"/>
      <w:r>
        <w:rPr>
          <w:lang w:val="el-GR"/>
        </w:rPr>
        <w:t xml:space="preserve"> και </w:t>
      </w:r>
      <w:proofErr w:type="spellStart"/>
      <w:r>
        <w:rPr>
          <w:lang w:val="el-GR"/>
        </w:rPr>
        <w:t>επιγενετικών</w:t>
      </w:r>
      <w:proofErr w:type="spellEnd"/>
      <w:r>
        <w:rPr>
          <w:lang w:val="el-GR"/>
        </w:rPr>
        <w:t xml:space="preserve"> μηχανισμών.</w:t>
      </w:r>
    </w:p>
    <w:p w14:paraId="69F7BDE6" w14:textId="3E4C38E2" w:rsidR="00E63D5B" w:rsidRPr="00132066" w:rsidRDefault="001F059D">
      <w:pPr>
        <w:rPr>
          <w:lang w:val="el-GR"/>
        </w:rPr>
      </w:pPr>
      <w:r>
        <w:rPr>
          <w:lang w:val="el-GR"/>
        </w:rPr>
        <w:t xml:space="preserve">Η παρούσα έρευνα με θέμα «Ανίχνευση του τραύματος της ενδοοικογενειακής βίας στις γυναίκες και στα παιδιά τους, ποιότητα ζωής και </w:t>
      </w:r>
      <w:proofErr w:type="spellStart"/>
      <w:r>
        <w:rPr>
          <w:lang w:val="el-GR"/>
        </w:rPr>
        <w:t>μετατραυματική</w:t>
      </w:r>
      <w:proofErr w:type="spellEnd"/>
      <w:r>
        <w:rPr>
          <w:lang w:val="el-GR"/>
        </w:rPr>
        <w:t xml:space="preserve"> ανάπτυξη: Καταγραφή, αξιολόγηση και προτάσεις παρέμβασης», ακολουθώντας μεικτή μεθοδολογική προσέγγιση, ποιοτική και ποσοτική, είχε ως βασικό στόχο την κατανόηση του τραύματος που βιώνουν οι γυναίκες θύματα ενδοοικογενειακής βίας, τη διερεύνηση της μετάδοσης του </w:t>
      </w:r>
      <w:proofErr w:type="spellStart"/>
      <w:r>
        <w:rPr>
          <w:lang w:val="el-GR"/>
        </w:rPr>
        <w:t>διαγενεακού</w:t>
      </w:r>
      <w:proofErr w:type="spellEnd"/>
      <w:r>
        <w:rPr>
          <w:lang w:val="el-GR"/>
        </w:rPr>
        <w:t xml:space="preserve"> τραύματος λόγω ενδοοικογενειακής βίας στα παιδιά τους καθώς και τη μελέτη της συσχέτισης του τραύματος με την </w:t>
      </w:r>
      <w:proofErr w:type="spellStart"/>
      <w:r>
        <w:rPr>
          <w:lang w:val="el-GR"/>
        </w:rPr>
        <w:t>μετατραυματική</w:t>
      </w:r>
      <w:proofErr w:type="spellEnd"/>
      <w:r>
        <w:rPr>
          <w:lang w:val="el-GR"/>
        </w:rPr>
        <w:t xml:space="preserve"> ανάπτυξη (</w:t>
      </w:r>
      <w:r>
        <w:t>posttraumatic</w:t>
      </w:r>
      <w:r>
        <w:rPr>
          <w:lang w:val="el-GR"/>
        </w:rPr>
        <w:t xml:space="preserve"> </w:t>
      </w:r>
      <w:r>
        <w:t>growth</w:t>
      </w:r>
      <w:r>
        <w:rPr>
          <w:lang w:val="el-GR"/>
        </w:rPr>
        <w:t>)</w:t>
      </w:r>
      <w:r w:rsidR="00DF4E3B" w:rsidRPr="00FC1B89">
        <w:rPr>
          <w:lang w:val="el-GR"/>
        </w:rPr>
        <w:t>,</w:t>
      </w:r>
      <w:r>
        <w:rPr>
          <w:lang w:val="el-GR"/>
        </w:rPr>
        <w:t xml:space="preserve"> ενώ οι επιμέρους στόχοι τόσο στο ποσοτικό όσο και στο ποιοτικό μέρος της έρευνας αφορούσαν: α. τη συσχέτιση του τραύματος με την ποιότητα ζωής και υγεία των γυναικών β. την παράλληλη ανίχνευση του προβλήματος σε γυναίκες μετανάστριες και πρόσφυγες στην Ελλάδα αναφορικά με την ενδοοικογενειακή βία των </w:t>
      </w:r>
      <w:r>
        <w:rPr>
          <w:lang w:val="el-GR"/>
        </w:rPr>
        <w:lastRenderedPageBreak/>
        <w:t>ομοεθνών/αλλοεθνών/γηγενών συζύγων/συντρόφων. Η κατανόηση των μηχανισμών που σχετίζονται με αυτές τις συμπεριφορές μπορεί να συμβάλει ουσιαστικά στον σχεδιασμό αποτελεσματικότερων παρεμβάσεων και πολιτικών προστασίας των γυναικών και των παιδιών που βιώνουν ενδοοικογενειακή βία.</w:t>
      </w:r>
    </w:p>
    <w:p w14:paraId="603D0807" w14:textId="77777777" w:rsidR="00E63D5B" w:rsidRPr="00132066" w:rsidRDefault="001F059D">
      <w:pPr>
        <w:rPr>
          <w:lang w:val="el-GR"/>
        </w:rPr>
      </w:pPr>
      <w:r>
        <w:rPr>
          <w:lang w:val="el-GR"/>
        </w:rPr>
        <w:t>Η αντιμετώπιση της ενδοοικογενειακής βίας δεν αποτελεί αποκλειστικά ευθύνη της Πολιτείας ή των αρμόδιων αρχών. Πρόκειται για μια συλλογική ευθύνη που απαιτεί τη συνεργασία της κοινωνίας, των εκπαιδευτικών ιδρυμάτων όλων των βαθμίδων, των υπηρεσιών και των λειτουργών υγείας, των επαγγελματιών ψυχικής υγείας, των δικαστικών και αστυνομικών αρχών, αλλά και κάθε πολίτη ξεχωριστά. Η πρόληψη του φαινομένου βασίζεται κυρίως στην εκπαίδευση, στην καλλιέργεια του αλληλοσεβασμού, στην προώθηση της ισότητας μεταξύ των φύλων και στην εξάλειψη των στερεοτύπων που δικαιολογούν ή συγκαλύπτουν την έμφυλη βία. Παράλληλα, είναι απαραίτητη η συνεχής ενημέρωση των πολιτών σχετικά με τα δικαιώματα των θυμάτων και τις διαθέσιμες δομές υποστήριξης, ώστε κανένα άτομο να μη νιώθει μόνο ή αβοήθητο απέναντι σε τέτοιες καταστάσεις.</w:t>
      </w:r>
    </w:p>
    <w:p w14:paraId="2069EED4" w14:textId="77777777" w:rsidR="00E63D5B" w:rsidRPr="00132066" w:rsidRDefault="001F059D">
      <w:pPr>
        <w:rPr>
          <w:lang w:val="el-GR"/>
        </w:rPr>
      </w:pPr>
      <w:r>
        <w:rPr>
          <w:lang w:val="el-GR"/>
        </w:rPr>
        <w:t>Καθοριστική είναι η συμβολή του Κέντρου Ερευνών για Θέματα Ισότητας (ΚΕΘΙ), το οποίο αποτελεί έναν από τους βασικούς θεσμικούς φορείς για την προώθηση της ισότητας των φύλων και την πρόληψη και αντιμετώπιση της έμφυλης και ενδοοικογενειακής βίας. Μέσω της λειτουργίας Συμβουλευτικών Κέντρων, της παροχής κοινωνικής, ψυχολογικής, εργασιακής και νομικής υποστήριξης στις γυναίκες θύματα, της υλοποίησης εκπαιδευτικών και ενημερωτικών δράσεων, καθώς και της διεξαγωγής ερευνών και προγραμμάτων ευαισθητοποίησης, το ΚΕΘΙ συμβάλλει ουσιαστικά στην προστασία των γυναικών θυμάτων και στην πρόληψη του φαινομένου της έμφυλης βίας κατά των γυναικών.</w:t>
      </w:r>
    </w:p>
    <w:p w14:paraId="1AFBFF47" w14:textId="2BC45C98" w:rsidR="00E63D5B" w:rsidRPr="00132066" w:rsidRDefault="001F059D">
      <w:pPr>
        <w:rPr>
          <w:lang w:val="el-GR"/>
        </w:rPr>
      </w:pPr>
      <w:r>
        <w:rPr>
          <w:lang w:val="el-GR"/>
        </w:rPr>
        <w:t xml:space="preserve">Στο πλαίσιο των ερευνών που έχει δρομολογήσει τα τελευταία χρόνια το ΚΕΘΙ για την επιστημονική καταγραφή του φαινομένου της ενδοοικογενειακής βίας, αλλά και της απήχησης της αποτελεσματικότητας των Προγραμμάτων Δράσης και των δράσεων των </w:t>
      </w:r>
      <w:r w:rsidR="00DF4E3B">
        <w:rPr>
          <w:lang w:val="el-GR"/>
        </w:rPr>
        <w:t>Δ</w:t>
      </w:r>
      <w:r>
        <w:rPr>
          <w:lang w:val="el-GR"/>
        </w:rPr>
        <w:t xml:space="preserve">ομών του Δικτύου της Γενικής Γραμματείας Ισότητας και Ανθρωπίνων Δικαιωμάτων (ΓΓΙΑΔ) για την πρόληψη και την καταπολέμηση της έμφυλης βίας κατά των γυναικών, εκπονήθηκε και η παρούσα έρευνα κατά το διάστημα Μαΐου 2025-Ιουνίου 2026. Η συνεργασία της ερευνητικής ομάδας με τους </w:t>
      </w:r>
      <w:r w:rsidR="00DF4E3B">
        <w:rPr>
          <w:lang w:val="el-GR"/>
        </w:rPr>
        <w:t>Ξ</w:t>
      </w:r>
      <w:r>
        <w:rPr>
          <w:lang w:val="el-GR"/>
        </w:rPr>
        <w:t>ενώνες</w:t>
      </w:r>
      <w:r w:rsidR="00DF4E3B">
        <w:rPr>
          <w:lang w:val="el-GR"/>
        </w:rPr>
        <w:t xml:space="preserve"> Φιλοξενίας</w:t>
      </w:r>
      <w:r>
        <w:rPr>
          <w:lang w:val="el-GR"/>
        </w:rPr>
        <w:t xml:space="preserve"> των Δήμων και του </w:t>
      </w:r>
      <w:r w:rsidR="00DF4E3B" w:rsidRPr="00FC1B89">
        <w:rPr>
          <w:lang w:val="el-GR"/>
        </w:rPr>
        <w:t>Εθνικ</w:t>
      </w:r>
      <w:r w:rsidR="00DF4E3B">
        <w:rPr>
          <w:lang w:val="el-GR"/>
        </w:rPr>
        <w:t>ού</w:t>
      </w:r>
      <w:r w:rsidR="00DF4E3B" w:rsidRPr="00FC1B89">
        <w:rPr>
          <w:lang w:val="el-GR"/>
        </w:rPr>
        <w:t xml:space="preserve"> Κέντρο</w:t>
      </w:r>
      <w:r w:rsidR="00DF4E3B">
        <w:rPr>
          <w:lang w:val="el-GR"/>
        </w:rPr>
        <w:t>υ</w:t>
      </w:r>
      <w:r w:rsidR="00DF4E3B" w:rsidRPr="00FC1B89">
        <w:rPr>
          <w:lang w:val="el-GR"/>
        </w:rPr>
        <w:t xml:space="preserve"> Κοινωνικής Αλληλεγγύης</w:t>
      </w:r>
      <w:r w:rsidR="00DF4E3B">
        <w:rPr>
          <w:lang w:val="el-GR"/>
        </w:rPr>
        <w:t xml:space="preserve"> (</w:t>
      </w:r>
      <w:r>
        <w:rPr>
          <w:lang w:val="el-GR"/>
        </w:rPr>
        <w:t>ΕΚΚΑ</w:t>
      </w:r>
      <w:r w:rsidR="00DF4E3B">
        <w:rPr>
          <w:lang w:val="el-GR"/>
        </w:rPr>
        <w:t>)</w:t>
      </w:r>
      <w:r>
        <w:rPr>
          <w:lang w:val="el-GR"/>
        </w:rPr>
        <w:t xml:space="preserve"> και τα 14 Συμβουλευτικά Κέντρα του ΚΕΘΙ (των οποίων έχει την επιστημονική παρακολούθηση/εποπτεία και συντονισμό τους)</w:t>
      </w:r>
      <w:r w:rsidR="00FC1B89">
        <w:rPr>
          <w:lang w:val="el-GR"/>
        </w:rPr>
        <w:t>,</w:t>
      </w:r>
      <w:r>
        <w:rPr>
          <w:lang w:val="el-GR"/>
        </w:rPr>
        <w:t xml:space="preserve"> με επανειλημμένες διαδικτυακές συναντήσεις και επικοινωνίες, υπήρξε υποδειγματική. Η κινητοποίηση των επαγγελματιών που τα στελεχώνουν ήταν συγκινητική, καθώς με τη βοήθειά τους και των υπευθύνων των Δομών καταφέραμε να συγκεντρώσουμε ικανοποιητικό δείγμα για την ποσοτική έρευνα, αλλά και το δείγμα για την ποιοτική έρευνα, δεδομένου ότι ακολουθήσαμε μικτή μέθοδο προσέγγισης. Για τις συνεντεύξεις της ποιοτικής έρευνας, γυναίκες από διάφορα σημεία της Αττικής προσήλθαν στα γραφεία του ΚΕΘΙ, όπου ορίστηκε το σημείο διεξαγωγής της συνέντευξης και αφηγήθηκαν</w:t>
      </w:r>
      <w:r w:rsidR="00DF4E3B">
        <w:rPr>
          <w:lang w:val="el-GR"/>
        </w:rPr>
        <w:t>,</w:t>
      </w:r>
      <w:r>
        <w:rPr>
          <w:lang w:val="el-GR"/>
        </w:rPr>
        <w:t xml:space="preserve"> στη βάση των ερωτήσεων του Οδηγού της συνέντευξης, την ιστορία τους και μοιράστηκαν τα τραυματικά βιώματά τους αλλά και το πώς ανέκτησαν δυνάμεις ελέγχου του εαυτού τους και βγήκαν από κακοποιητικές σχέσεις στις οποίες ήταν εγκλωβισμένες. Η προσφορά τους αυτή σε όλες και όλους εμάς</w:t>
      </w:r>
      <w:r w:rsidR="00FC1B89">
        <w:rPr>
          <w:lang w:val="el-GR"/>
        </w:rPr>
        <w:t xml:space="preserve"> ήταν</w:t>
      </w:r>
      <w:r>
        <w:rPr>
          <w:lang w:val="el-GR"/>
        </w:rPr>
        <w:t xml:space="preserve"> ιδιαίτερα σημαντική, καθώς μας έδειξαν ότι</w:t>
      </w:r>
      <w:r w:rsidR="00FC1B89">
        <w:rPr>
          <w:lang w:val="el-GR"/>
        </w:rPr>
        <w:t>,</w:t>
      </w:r>
      <w:r>
        <w:rPr>
          <w:lang w:val="el-GR"/>
        </w:rPr>
        <w:t xml:space="preserve"> όταν υπάρχει δομή υποδοχής όπου μπορούν να μιλήσουν και να υποστηριχθούν υπεύθυνα από επαγγελματίες που ενδιαφέρονται πραγματικά, τότε μπορούν να ενδυναμωθούν ουσιαστικά και δημιουργικά και να δείξουν τον δρόμο της </w:t>
      </w:r>
      <w:proofErr w:type="spellStart"/>
      <w:r>
        <w:rPr>
          <w:lang w:val="el-GR"/>
        </w:rPr>
        <w:t>Μετατραυματικής</w:t>
      </w:r>
      <w:proofErr w:type="spellEnd"/>
      <w:r>
        <w:rPr>
          <w:lang w:val="el-GR"/>
        </w:rPr>
        <w:t xml:space="preserve"> Ανάπτυξης και σε χιλιάδες άλλες γυναίκες που ακόμα δεν τολμούν να καταγγείλουν τους δράστες και να απεγκλωβιστούν. Εξαιρετική υπήρξε και η συμμετοχή των γυναικών από όλες τις περιοχές της Ελλάδας στην ποσοτική έρευνα συμβάλλοντας ουσιαστικά </w:t>
      </w:r>
      <w:r>
        <w:rPr>
          <w:lang w:val="el-GR"/>
        </w:rPr>
        <w:lastRenderedPageBreak/>
        <w:t>στη μελέτη του σοβαρού αυτού φαινομένου που τις συνέπειές του οι ίδιες βίωσαν και αγωνίζονται με όλες τις δυνάμεις τους να τις υπερβούν. Τις ευχαριστούμε όλες για την προσφορά τους.</w:t>
      </w:r>
    </w:p>
    <w:p w14:paraId="507D0C7A" w14:textId="03AFFA3B" w:rsidR="00E63D5B" w:rsidRDefault="001F059D">
      <w:pPr>
        <w:rPr>
          <w:lang w:val="el-GR"/>
        </w:rPr>
      </w:pPr>
      <w:r>
        <w:rPr>
          <w:lang w:val="el-GR"/>
        </w:rPr>
        <w:t>Με τη στήριξη του ΚΕΘΙ, το οποίο ευχαριστούμε ιδιαιτέρως για τη δυνατότητα που μας έδωσε να μελετήσουμε το συγκεκριμένο θέμα, είχαμε την ευκαιρία να ακούσουμε και να γνωρίσουμε από κοντά τις προσωπικές τους ιστορίες και βεβαιωθήκαμε για τη σημασία της οργανωμένης υποστήριξης από Φορείς και επαγγελματίες που εννοούν να είναι συνοδοιπόροι στη ζωή κάθε γυναίκας, κάθε παιδιού που θέλει να ζήσει απολαμβάνοντας τα αυτονόητα δικαιώματά του και τη ζωή, μακριά από τον φόβο.</w:t>
      </w:r>
    </w:p>
    <w:p w14:paraId="111F55DF" w14:textId="77777777" w:rsidR="00F56A84" w:rsidRPr="00132066" w:rsidRDefault="00F56A84">
      <w:pPr>
        <w:rPr>
          <w:lang w:val="el-GR"/>
        </w:rPr>
      </w:pPr>
    </w:p>
    <w:p w14:paraId="68547B4F" w14:textId="7A2DF478" w:rsidR="00E63D5B" w:rsidRDefault="001F059D">
      <w:pPr>
        <w:rPr>
          <w:lang w:val="el-GR"/>
        </w:rPr>
      </w:pPr>
      <w:r>
        <w:rPr>
          <w:lang w:val="el-GR"/>
        </w:rPr>
        <w:t>Ιούνιος 2026</w:t>
      </w:r>
    </w:p>
    <w:p w14:paraId="5008A318" w14:textId="77777777" w:rsidR="00F56A84" w:rsidRPr="00132066" w:rsidRDefault="00F56A84">
      <w:pPr>
        <w:rPr>
          <w:lang w:val="el-GR"/>
        </w:rPr>
      </w:pPr>
    </w:p>
    <w:p w14:paraId="0C0B817C" w14:textId="7665A12A" w:rsidR="00E63D5B" w:rsidRPr="00F56A84" w:rsidRDefault="001F059D">
      <w:pPr>
        <w:rPr>
          <w:b/>
          <w:bCs/>
          <w:lang w:val="el-GR"/>
        </w:rPr>
      </w:pPr>
      <w:r w:rsidRPr="00F56A84">
        <w:rPr>
          <w:b/>
          <w:bCs/>
          <w:lang w:val="el-GR"/>
        </w:rPr>
        <w:t>Η ερευνητική ομάδα</w:t>
      </w:r>
    </w:p>
    <w:p w14:paraId="30732839" w14:textId="77777777" w:rsidR="00E63D5B" w:rsidRPr="00132066" w:rsidRDefault="001F059D">
      <w:pPr>
        <w:rPr>
          <w:lang w:val="el-GR"/>
        </w:rPr>
      </w:pPr>
      <w:r>
        <w:rPr>
          <w:lang w:val="el-GR"/>
        </w:rPr>
        <w:t xml:space="preserve">Ντόνα </w:t>
      </w:r>
      <w:proofErr w:type="spellStart"/>
      <w:r>
        <w:rPr>
          <w:lang w:val="el-GR"/>
        </w:rPr>
        <w:t>Παπαστυλιανού</w:t>
      </w:r>
      <w:proofErr w:type="spellEnd"/>
      <w:r>
        <w:rPr>
          <w:lang w:val="el-GR"/>
        </w:rPr>
        <w:t>, Ομότιμη Καθηγήτρια Κοινωνικής Ψυχολογίας, Τμήμα Ψυχολογίας, ΕΚΠΑ</w:t>
      </w:r>
    </w:p>
    <w:p w14:paraId="4CDAD2B2" w14:textId="77777777" w:rsidR="00E63D5B" w:rsidRPr="00132066" w:rsidRDefault="001F059D">
      <w:pPr>
        <w:rPr>
          <w:lang w:val="el-GR"/>
        </w:rPr>
      </w:pPr>
      <w:r>
        <w:rPr>
          <w:lang w:val="el-GR"/>
        </w:rPr>
        <w:t xml:space="preserve">Ελένη </w:t>
      </w:r>
      <w:proofErr w:type="spellStart"/>
      <w:r>
        <w:rPr>
          <w:lang w:val="el-GR"/>
        </w:rPr>
        <w:t>Βούσουρα</w:t>
      </w:r>
      <w:proofErr w:type="spellEnd"/>
      <w:r>
        <w:rPr>
          <w:lang w:val="el-GR"/>
        </w:rPr>
        <w:t>, Επίκουρη Καθηγήτρια Κλινικής Ψυχοπαθολογίας, Τμήμα Ψυχολογίας, ΕΚΠΑ</w:t>
      </w:r>
    </w:p>
    <w:p w14:paraId="01D1D527" w14:textId="77777777" w:rsidR="00E63D5B" w:rsidRPr="00132066" w:rsidRDefault="001F059D">
      <w:pPr>
        <w:rPr>
          <w:lang w:val="el-GR"/>
        </w:rPr>
      </w:pPr>
      <w:r>
        <w:rPr>
          <w:lang w:val="el-GR"/>
        </w:rPr>
        <w:t>Βασιλική Ευσταθίου, Επίκουρη Καθηγήτρια Ψυχολογίας της Υγείας, Τμήμα Ψυχολογίας, ΕΚΠΑ</w:t>
      </w:r>
    </w:p>
    <w:p w14:paraId="69EAEE84" w14:textId="77777777" w:rsidR="00E63D5B" w:rsidRPr="00132066" w:rsidRDefault="001F059D">
      <w:pPr>
        <w:rPr>
          <w:lang w:val="el-GR"/>
        </w:rPr>
      </w:pPr>
      <w:r>
        <w:rPr>
          <w:lang w:val="el-GR"/>
        </w:rPr>
        <w:t>Βασιλεία Ζέρβα, Ψυχολόγος, Μεταπτυχιακή Φοιτήτρια Ιατρικής Σχολής, ΕΚΠΑ</w:t>
      </w:r>
    </w:p>
    <w:p w14:paraId="74CD2461" w14:textId="77777777" w:rsidR="00E63D5B" w:rsidRPr="00132066" w:rsidRDefault="001F059D">
      <w:pPr>
        <w:rPr>
          <w:lang w:val="el-GR"/>
        </w:rPr>
      </w:pPr>
      <w:r>
        <w:rPr>
          <w:lang w:val="el-GR"/>
        </w:rPr>
        <w:t xml:space="preserve">Νίκος </w:t>
      </w:r>
      <w:proofErr w:type="spellStart"/>
      <w:r>
        <w:rPr>
          <w:lang w:val="el-GR"/>
        </w:rPr>
        <w:t>Παγγός</w:t>
      </w:r>
      <w:proofErr w:type="spellEnd"/>
      <w:r>
        <w:rPr>
          <w:lang w:val="el-GR"/>
        </w:rPr>
        <w:t>, Κοινωνικός Λειτουργός, Ελληνικός Ερυθρός Σταυρός</w:t>
      </w:r>
    </w:p>
    <w:p w14:paraId="7CF999B1" w14:textId="77777777" w:rsidR="00E63D5B" w:rsidRPr="00132066" w:rsidRDefault="001F059D">
      <w:pPr>
        <w:rPr>
          <w:lang w:val="el-GR"/>
        </w:rPr>
      </w:pPr>
      <w:r>
        <w:rPr>
          <w:lang w:val="el-GR"/>
        </w:rPr>
        <w:t xml:space="preserve">Γρηγόριος </w:t>
      </w:r>
      <w:proofErr w:type="spellStart"/>
      <w:r>
        <w:rPr>
          <w:lang w:val="el-GR"/>
        </w:rPr>
        <w:t>Μπεκατώρος</w:t>
      </w:r>
      <w:proofErr w:type="spellEnd"/>
      <w:r>
        <w:rPr>
          <w:lang w:val="el-GR"/>
        </w:rPr>
        <w:t xml:space="preserve">, Κοινωνιολόγος, </w:t>
      </w:r>
      <w:r>
        <w:t>MSc</w:t>
      </w:r>
      <w:r>
        <w:rPr>
          <w:lang w:val="el-GR"/>
        </w:rPr>
        <w:t xml:space="preserve"> «Ευρωπαϊκές Κοινωνίες και Ευρωπαϊκή Ολοκλήρωση»</w:t>
      </w:r>
    </w:p>
    <w:p w14:paraId="0E8A1044" w14:textId="77777777" w:rsidR="00E63D5B" w:rsidRPr="00132066" w:rsidRDefault="001F059D">
      <w:pPr>
        <w:pStyle w:val="1"/>
        <w:pageBreakBefore/>
        <w:rPr>
          <w:lang w:val="el-GR"/>
        </w:rPr>
      </w:pPr>
      <w:bookmarkStart w:id="1" w:name="_Toc242134406"/>
      <w:r>
        <w:rPr>
          <w:lang w:val="el-GR"/>
        </w:rPr>
        <w:lastRenderedPageBreak/>
        <w:t>Κατάλογος αρκτικόλεξων</w:t>
      </w:r>
      <w:bookmarkEnd w:id="1"/>
    </w:p>
    <w:p w14:paraId="619EC902" w14:textId="77777777" w:rsidR="00E63D5B" w:rsidRPr="00132066" w:rsidRDefault="001F059D">
      <w:pPr>
        <w:rPr>
          <w:lang w:val="el-GR"/>
        </w:rPr>
      </w:pPr>
      <w:r>
        <w:rPr>
          <w:b/>
          <w:bCs/>
        </w:rPr>
        <w:t>APA</w:t>
      </w:r>
      <w:r>
        <w:rPr>
          <w:b/>
          <w:bCs/>
          <w:lang w:val="el-GR"/>
        </w:rPr>
        <w:t>:</w:t>
      </w:r>
      <w:r>
        <w:rPr>
          <w:lang w:val="el-GR"/>
        </w:rPr>
        <w:t xml:space="preserve"> </w:t>
      </w:r>
      <w:r>
        <w:t>American</w:t>
      </w:r>
      <w:r>
        <w:rPr>
          <w:lang w:val="el-GR"/>
        </w:rPr>
        <w:t xml:space="preserve"> </w:t>
      </w:r>
      <w:r>
        <w:t>Psychological</w:t>
      </w:r>
      <w:r>
        <w:rPr>
          <w:lang w:val="el-GR"/>
        </w:rPr>
        <w:t xml:space="preserve"> </w:t>
      </w:r>
      <w:r>
        <w:t>Association</w:t>
      </w:r>
      <w:r>
        <w:rPr>
          <w:lang w:val="el-GR"/>
        </w:rPr>
        <w:t xml:space="preserve"> — Αμερικανική Ψυχολογική Εταιρεία (πρότυπο βιβλιογραφικών παραπομπών)</w:t>
      </w:r>
    </w:p>
    <w:p w14:paraId="2392366F" w14:textId="77777777" w:rsidR="00E63D5B" w:rsidRPr="00132066" w:rsidRDefault="001F059D">
      <w:pPr>
        <w:rPr>
          <w:lang w:val="el-GR"/>
        </w:rPr>
      </w:pPr>
      <w:r>
        <w:rPr>
          <w:b/>
          <w:bCs/>
        </w:rPr>
        <w:t>BRS</w:t>
      </w:r>
      <w:r>
        <w:rPr>
          <w:b/>
          <w:bCs/>
          <w:lang w:val="el-GR"/>
        </w:rPr>
        <w:t>:</w:t>
      </w:r>
      <w:r>
        <w:rPr>
          <w:lang w:val="el-GR"/>
        </w:rPr>
        <w:t xml:space="preserve"> </w:t>
      </w:r>
      <w:r>
        <w:t>Brief</w:t>
      </w:r>
      <w:r>
        <w:rPr>
          <w:lang w:val="el-GR"/>
        </w:rPr>
        <w:t xml:space="preserve"> </w:t>
      </w:r>
      <w:r>
        <w:t>Resilience</w:t>
      </w:r>
      <w:r>
        <w:rPr>
          <w:lang w:val="el-GR"/>
        </w:rPr>
        <w:t xml:space="preserve"> </w:t>
      </w:r>
      <w:r>
        <w:t>Scale</w:t>
      </w:r>
      <w:r>
        <w:rPr>
          <w:lang w:val="el-GR"/>
        </w:rPr>
        <w:t xml:space="preserve"> — Σύντομη Κλίμακα Ψυχικής Ανθεκτικότητας</w:t>
      </w:r>
    </w:p>
    <w:p w14:paraId="3B3EF899" w14:textId="77777777" w:rsidR="00E63D5B" w:rsidRDefault="001F059D">
      <w:r>
        <w:rPr>
          <w:b/>
          <w:bCs/>
        </w:rPr>
        <w:t>CEDAW:</w:t>
      </w:r>
      <w:r>
        <w:t xml:space="preserve"> Convention on the Elimination of All Forms of Discrimination against Women — </w:t>
      </w:r>
      <w:proofErr w:type="spellStart"/>
      <w:r>
        <w:t>Σύμ</w:t>
      </w:r>
      <w:proofErr w:type="spellEnd"/>
      <w:r>
        <w:t xml:space="preserve">βαση </w:t>
      </w:r>
      <w:proofErr w:type="spellStart"/>
      <w:r>
        <w:t>γι</w:t>
      </w:r>
      <w:proofErr w:type="spellEnd"/>
      <w:r>
        <w:t xml:space="preserve">α </w:t>
      </w:r>
      <w:proofErr w:type="spellStart"/>
      <w:r>
        <w:t>την</w:t>
      </w:r>
      <w:proofErr w:type="spellEnd"/>
      <w:r>
        <w:t xml:space="preserve"> </w:t>
      </w:r>
      <w:proofErr w:type="spellStart"/>
      <w:r>
        <w:t>Εξάλειψη</w:t>
      </w:r>
      <w:proofErr w:type="spellEnd"/>
      <w:r>
        <w:t xml:space="preserve"> </w:t>
      </w:r>
      <w:proofErr w:type="spellStart"/>
      <w:r>
        <w:t>Κάθε</w:t>
      </w:r>
      <w:proofErr w:type="spellEnd"/>
      <w:r>
        <w:t xml:space="preserve"> </w:t>
      </w:r>
      <w:proofErr w:type="spellStart"/>
      <w:r>
        <w:t>Μορφής</w:t>
      </w:r>
      <w:proofErr w:type="spellEnd"/>
      <w:r>
        <w:t xml:space="preserve"> </w:t>
      </w:r>
      <w:proofErr w:type="spellStart"/>
      <w:r>
        <w:t>Δι</w:t>
      </w:r>
      <w:proofErr w:type="spellEnd"/>
      <w:r>
        <w:t>ακρίσεων κα</w:t>
      </w:r>
      <w:proofErr w:type="spellStart"/>
      <w:r>
        <w:t>τά</w:t>
      </w:r>
      <w:proofErr w:type="spellEnd"/>
      <w:r>
        <w:t xml:space="preserve"> </w:t>
      </w:r>
      <w:proofErr w:type="spellStart"/>
      <w:r>
        <w:t>των</w:t>
      </w:r>
      <w:proofErr w:type="spellEnd"/>
      <w:r>
        <w:t xml:space="preserve"> </w:t>
      </w:r>
      <w:proofErr w:type="spellStart"/>
      <w:r>
        <w:t>Γυν</w:t>
      </w:r>
      <w:proofErr w:type="spellEnd"/>
      <w:r>
        <w:t>αικών</w:t>
      </w:r>
    </w:p>
    <w:p w14:paraId="79D3C8DD" w14:textId="77777777" w:rsidR="00E63D5B" w:rsidRDefault="001F059D">
      <w:r>
        <w:rPr>
          <w:b/>
          <w:bCs/>
        </w:rPr>
        <w:t>CEDV:</w:t>
      </w:r>
      <w:r>
        <w:t xml:space="preserve"> Child Exposure to Domestic Violence — </w:t>
      </w:r>
      <w:proofErr w:type="spellStart"/>
      <w:r>
        <w:t>Έκθεση</w:t>
      </w:r>
      <w:proofErr w:type="spellEnd"/>
      <w:r>
        <w:t xml:space="preserve"> </w:t>
      </w:r>
      <w:proofErr w:type="spellStart"/>
      <w:r>
        <w:t>των</w:t>
      </w:r>
      <w:proofErr w:type="spellEnd"/>
      <w:r>
        <w:t xml:space="preserve"> Πα</w:t>
      </w:r>
      <w:proofErr w:type="spellStart"/>
      <w:r>
        <w:t>ιδιών</w:t>
      </w:r>
      <w:proofErr w:type="spellEnd"/>
      <w:r>
        <w:t xml:space="preserve"> </w:t>
      </w:r>
      <w:proofErr w:type="spellStart"/>
      <w:r>
        <w:t>στην</w:t>
      </w:r>
      <w:proofErr w:type="spellEnd"/>
      <w:r>
        <w:t xml:space="preserve"> </w:t>
      </w:r>
      <w:proofErr w:type="spellStart"/>
      <w:r>
        <w:t>Ενδοοικογενει</w:t>
      </w:r>
      <w:proofErr w:type="spellEnd"/>
      <w:r>
        <w:t xml:space="preserve">ακή </w:t>
      </w:r>
      <w:proofErr w:type="spellStart"/>
      <w:r>
        <w:t>Βί</w:t>
      </w:r>
      <w:proofErr w:type="spellEnd"/>
      <w:r>
        <w:t>α</w:t>
      </w:r>
    </w:p>
    <w:p w14:paraId="4CCDCAD5" w14:textId="77777777" w:rsidR="00E63D5B" w:rsidRDefault="001F059D">
      <w:r>
        <w:rPr>
          <w:b/>
          <w:bCs/>
        </w:rPr>
        <w:t>COVID-19:</w:t>
      </w:r>
      <w:r>
        <w:t xml:space="preserve"> Coronavirus Disease 2019 — </w:t>
      </w:r>
      <w:proofErr w:type="spellStart"/>
      <w:r>
        <w:t>Νόσος</w:t>
      </w:r>
      <w:proofErr w:type="spellEnd"/>
      <w:r>
        <w:t xml:space="preserve"> </w:t>
      </w:r>
      <w:proofErr w:type="spellStart"/>
      <w:r>
        <w:t>του</w:t>
      </w:r>
      <w:proofErr w:type="spellEnd"/>
      <w:r>
        <w:t xml:space="preserve"> </w:t>
      </w:r>
      <w:proofErr w:type="spellStart"/>
      <w:r>
        <w:t>κορονοϊού</w:t>
      </w:r>
      <w:proofErr w:type="spellEnd"/>
      <w:r>
        <w:t xml:space="preserve"> 2019</w:t>
      </w:r>
    </w:p>
    <w:p w14:paraId="0DEB33A9" w14:textId="77777777" w:rsidR="00E63D5B" w:rsidRDefault="001F059D">
      <w:r>
        <w:rPr>
          <w:b/>
          <w:bCs/>
        </w:rPr>
        <w:t>CPP:</w:t>
      </w:r>
      <w:r>
        <w:t xml:space="preserve"> Child–Parent Psychotherapy — </w:t>
      </w:r>
      <w:proofErr w:type="spellStart"/>
      <w:r>
        <w:t>Ψυχοθερ</w:t>
      </w:r>
      <w:proofErr w:type="spellEnd"/>
      <w:r>
        <w:t>απεία Πα</w:t>
      </w:r>
      <w:proofErr w:type="spellStart"/>
      <w:r>
        <w:t>ιδιού</w:t>
      </w:r>
      <w:proofErr w:type="spellEnd"/>
      <w:r>
        <w:t>–</w:t>
      </w:r>
      <w:proofErr w:type="spellStart"/>
      <w:r>
        <w:t>Γονέ</w:t>
      </w:r>
      <w:proofErr w:type="spellEnd"/>
      <w:r>
        <w:t>α</w:t>
      </w:r>
    </w:p>
    <w:p w14:paraId="13298B8D" w14:textId="77777777" w:rsidR="00E63D5B" w:rsidRPr="00132066" w:rsidRDefault="001F059D">
      <w:pPr>
        <w:rPr>
          <w:lang w:val="el-GR"/>
        </w:rPr>
      </w:pPr>
      <w:r>
        <w:rPr>
          <w:b/>
          <w:bCs/>
        </w:rPr>
        <w:t>CRIES</w:t>
      </w:r>
      <w:r>
        <w:rPr>
          <w:b/>
          <w:bCs/>
          <w:lang w:val="el-GR"/>
        </w:rPr>
        <w:t>-8:</w:t>
      </w:r>
      <w:r>
        <w:rPr>
          <w:lang w:val="el-GR"/>
        </w:rPr>
        <w:t xml:space="preserve"> </w:t>
      </w:r>
      <w:r>
        <w:t>Children</w:t>
      </w:r>
      <w:r>
        <w:rPr>
          <w:lang w:val="el-GR"/>
        </w:rPr>
        <w:t>’</w:t>
      </w:r>
      <w:r>
        <w:t>s</w:t>
      </w:r>
      <w:r>
        <w:rPr>
          <w:lang w:val="el-GR"/>
        </w:rPr>
        <w:t xml:space="preserve"> </w:t>
      </w:r>
      <w:r>
        <w:t>Revised</w:t>
      </w:r>
      <w:r>
        <w:rPr>
          <w:lang w:val="el-GR"/>
        </w:rPr>
        <w:t xml:space="preserve"> </w:t>
      </w:r>
      <w:r>
        <w:t>Impact</w:t>
      </w:r>
      <w:r>
        <w:rPr>
          <w:lang w:val="el-GR"/>
        </w:rPr>
        <w:t xml:space="preserve"> </w:t>
      </w:r>
      <w:r>
        <w:t>of</w:t>
      </w:r>
      <w:r>
        <w:rPr>
          <w:lang w:val="el-GR"/>
        </w:rPr>
        <w:t xml:space="preserve"> </w:t>
      </w:r>
      <w:r>
        <w:t>Event</w:t>
      </w:r>
      <w:r>
        <w:rPr>
          <w:lang w:val="el-GR"/>
        </w:rPr>
        <w:t xml:space="preserve"> </w:t>
      </w:r>
      <w:r>
        <w:t>Scale</w:t>
      </w:r>
      <w:r>
        <w:rPr>
          <w:lang w:val="el-GR"/>
        </w:rPr>
        <w:t>-8 — Αναθεωρημένο Ερωτηματολόγιο Επιπτώσεων Τραυματικών Γεγονότων για Παιδιά (8 ερωτήσεων)</w:t>
      </w:r>
    </w:p>
    <w:p w14:paraId="3BDB59B1" w14:textId="77777777" w:rsidR="00E63D5B" w:rsidRPr="00132066" w:rsidRDefault="001F059D">
      <w:pPr>
        <w:rPr>
          <w:lang w:val="el-GR"/>
        </w:rPr>
      </w:pPr>
      <w:r>
        <w:rPr>
          <w:b/>
          <w:bCs/>
        </w:rPr>
        <w:t>DSM</w:t>
      </w:r>
      <w:r>
        <w:rPr>
          <w:b/>
          <w:bCs/>
          <w:lang w:val="el-GR"/>
        </w:rPr>
        <w:t>-5:</w:t>
      </w:r>
      <w:r>
        <w:rPr>
          <w:lang w:val="el-GR"/>
        </w:rPr>
        <w:t xml:space="preserve"> </w:t>
      </w:r>
      <w:r>
        <w:t>Diagnostic</w:t>
      </w:r>
      <w:r>
        <w:rPr>
          <w:lang w:val="el-GR"/>
        </w:rPr>
        <w:t xml:space="preserve"> </w:t>
      </w:r>
      <w:r>
        <w:t>and</w:t>
      </w:r>
      <w:r>
        <w:rPr>
          <w:lang w:val="el-GR"/>
        </w:rPr>
        <w:t xml:space="preserve"> </w:t>
      </w:r>
      <w:r>
        <w:t>Statistical</w:t>
      </w:r>
      <w:r>
        <w:rPr>
          <w:lang w:val="el-GR"/>
        </w:rPr>
        <w:t xml:space="preserve"> </w:t>
      </w:r>
      <w:r>
        <w:t>Manual</w:t>
      </w:r>
      <w:r>
        <w:rPr>
          <w:lang w:val="el-GR"/>
        </w:rPr>
        <w:t xml:space="preserve"> </w:t>
      </w:r>
      <w:r>
        <w:t>of</w:t>
      </w:r>
      <w:r>
        <w:rPr>
          <w:lang w:val="el-GR"/>
        </w:rPr>
        <w:t xml:space="preserve"> </w:t>
      </w:r>
      <w:r>
        <w:t>Mental</w:t>
      </w:r>
      <w:r>
        <w:rPr>
          <w:lang w:val="el-GR"/>
        </w:rPr>
        <w:t xml:space="preserve"> </w:t>
      </w:r>
      <w:r>
        <w:t>Disorders</w:t>
      </w:r>
      <w:r>
        <w:rPr>
          <w:lang w:val="el-GR"/>
        </w:rPr>
        <w:t>—</w:t>
      </w:r>
      <w:r>
        <w:t>Fifth</w:t>
      </w:r>
      <w:r>
        <w:rPr>
          <w:lang w:val="el-GR"/>
        </w:rPr>
        <w:t xml:space="preserve"> </w:t>
      </w:r>
      <w:r>
        <w:t>Edition</w:t>
      </w:r>
      <w:r>
        <w:rPr>
          <w:lang w:val="el-GR"/>
        </w:rPr>
        <w:t xml:space="preserve"> — Διαγνωστικό και Στατιστικό Εγχειρίδιο Ψυχικών Διαταραχών, 5η έκδοση</w:t>
      </w:r>
    </w:p>
    <w:p w14:paraId="690CC15A" w14:textId="77777777" w:rsidR="00E63D5B" w:rsidRPr="00132066" w:rsidRDefault="001F059D">
      <w:pPr>
        <w:rPr>
          <w:lang w:val="el-GR"/>
        </w:rPr>
      </w:pPr>
      <w:r>
        <w:rPr>
          <w:b/>
          <w:bCs/>
        </w:rPr>
        <w:t>E</w:t>
      </w:r>
      <w:r>
        <w:rPr>
          <w:b/>
          <w:bCs/>
          <w:lang w:val="el-GR"/>
        </w:rPr>
        <w:t>-</w:t>
      </w:r>
      <w:r>
        <w:rPr>
          <w:b/>
          <w:bCs/>
        </w:rPr>
        <w:t>HITS</w:t>
      </w:r>
      <w:r>
        <w:rPr>
          <w:b/>
          <w:bCs/>
          <w:lang w:val="el-GR"/>
        </w:rPr>
        <w:t>:</w:t>
      </w:r>
      <w:r>
        <w:rPr>
          <w:lang w:val="el-GR"/>
        </w:rPr>
        <w:t xml:space="preserve"> </w:t>
      </w:r>
      <w:r>
        <w:t>Extended</w:t>
      </w:r>
      <w:r>
        <w:rPr>
          <w:lang w:val="el-GR"/>
        </w:rPr>
        <w:t xml:space="preserve"> </w:t>
      </w:r>
      <w:r>
        <w:t>Hurt</w:t>
      </w:r>
      <w:r>
        <w:rPr>
          <w:lang w:val="el-GR"/>
        </w:rPr>
        <w:t xml:space="preserve">, </w:t>
      </w:r>
      <w:r>
        <w:t>Insult</w:t>
      </w:r>
      <w:r>
        <w:rPr>
          <w:lang w:val="el-GR"/>
        </w:rPr>
        <w:t xml:space="preserve">, </w:t>
      </w:r>
      <w:r>
        <w:t>Threaten</w:t>
      </w:r>
      <w:r>
        <w:rPr>
          <w:lang w:val="el-GR"/>
        </w:rPr>
        <w:t xml:space="preserve">, </w:t>
      </w:r>
      <w:r>
        <w:t>Scream</w:t>
      </w:r>
      <w:r>
        <w:rPr>
          <w:lang w:val="el-GR"/>
        </w:rPr>
        <w:t xml:space="preserve"> — Εκτεταμένο Ερωτηματολόγιο «Πληγώνω, Προσβάλλω, Απειλώ, Φωνάζω»</w:t>
      </w:r>
    </w:p>
    <w:p w14:paraId="296282AC" w14:textId="77777777" w:rsidR="00E63D5B" w:rsidRPr="00132066" w:rsidRDefault="001F059D">
      <w:pPr>
        <w:rPr>
          <w:lang w:val="el-GR"/>
        </w:rPr>
      </w:pPr>
      <w:r>
        <w:rPr>
          <w:b/>
          <w:bCs/>
        </w:rPr>
        <w:t>EIGE</w:t>
      </w:r>
      <w:r>
        <w:rPr>
          <w:b/>
          <w:bCs/>
          <w:lang w:val="el-GR"/>
        </w:rPr>
        <w:t>:</w:t>
      </w:r>
      <w:r>
        <w:rPr>
          <w:lang w:val="el-GR"/>
        </w:rPr>
        <w:t xml:space="preserve"> </w:t>
      </w:r>
      <w:r>
        <w:t>European</w:t>
      </w:r>
      <w:r>
        <w:rPr>
          <w:lang w:val="el-GR"/>
        </w:rPr>
        <w:t xml:space="preserve"> </w:t>
      </w:r>
      <w:r>
        <w:t>Institute</w:t>
      </w:r>
      <w:r>
        <w:rPr>
          <w:lang w:val="el-GR"/>
        </w:rPr>
        <w:t xml:space="preserve"> </w:t>
      </w:r>
      <w:r>
        <w:t>for</w:t>
      </w:r>
      <w:r>
        <w:rPr>
          <w:lang w:val="el-GR"/>
        </w:rPr>
        <w:t xml:space="preserve"> </w:t>
      </w:r>
      <w:r>
        <w:t>Gender</w:t>
      </w:r>
      <w:r>
        <w:rPr>
          <w:lang w:val="el-GR"/>
        </w:rPr>
        <w:t xml:space="preserve"> </w:t>
      </w:r>
      <w:r>
        <w:t>Equality</w:t>
      </w:r>
      <w:r>
        <w:rPr>
          <w:lang w:val="el-GR"/>
        </w:rPr>
        <w:t xml:space="preserve"> — Ευρωπαϊκό Ινστιτούτο για την Ισότητα των Φύλων</w:t>
      </w:r>
    </w:p>
    <w:p w14:paraId="433BC651" w14:textId="77777777" w:rsidR="00E63D5B" w:rsidRPr="00132066" w:rsidRDefault="001F059D">
      <w:pPr>
        <w:rPr>
          <w:lang w:val="el-GR"/>
        </w:rPr>
      </w:pPr>
      <w:r>
        <w:rPr>
          <w:b/>
          <w:bCs/>
        </w:rPr>
        <w:t>EMDR</w:t>
      </w:r>
      <w:r>
        <w:rPr>
          <w:b/>
          <w:bCs/>
          <w:lang w:val="el-GR"/>
        </w:rPr>
        <w:t>:</w:t>
      </w:r>
      <w:r>
        <w:rPr>
          <w:lang w:val="el-GR"/>
        </w:rPr>
        <w:t xml:space="preserve"> </w:t>
      </w:r>
      <w:r>
        <w:t>Eye</w:t>
      </w:r>
      <w:r>
        <w:rPr>
          <w:lang w:val="el-GR"/>
        </w:rPr>
        <w:t xml:space="preserve"> </w:t>
      </w:r>
      <w:r>
        <w:t>Movement</w:t>
      </w:r>
      <w:r>
        <w:rPr>
          <w:lang w:val="el-GR"/>
        </w:rPr>
        <w:t xml:space="preserve"> </w:t>
      </w:r>
      <w:r>
        <w:t>Desensitization</w:t>
      </w:r>
      <w:r>
        <w:rPr>
          <w:lang w:val="el-GR"/>
        </w:rPr>
        <w:t xml:space="preserve"> </w:t>
      </w:r>
      <w:r>
        <w:t>and</w:t>
      </w:r>
      <w:r>
        <w:rPr>
          <w:lang w:val="el-GR"/>
        </w:rPr>
        <w:t xml:space="preserve"> </w:t>
      </w:r>
      <w:r>
        <w:t>Reprocessing</w:t>
      </w:r>
      <w:r>
        <w:rPr>
          <w:lang w:val="el-GR"/>
        </w:rPr>
        <w:t xml:space="preserve"> — Απευαισθητοποίηση και </w:t>
      </w:r>
      <w:proofErr w:type="spellStart"/>
      <w:r>
        <w:rPr>
          <w:lang w:val="el-GR"/>
        </w:rPr>
        <w:t>Επανεπεξεργασία</w:t>
      </w:r>
      <w:proofErr w:type="spellEnd"/>
      <w:r>
        <w:rPr>
          <w:lang w:val="el-GR"/>
        </w:rPr>
        <w:t xml:space="preserve"> μέσω Οφθαλμικών Κινήσεων</w:t>
      </w:r>
    </w:p>
    <w:p w14:paraId="6733F65A" w14:textId="77777777" w:rsidR="00E63D5B" w:rsidRPr="00132066" w:rsidRDefault="001F059D">
      <w:pPr>
        <w:rPr>
          <w:lang w:val="el-GR"/>
        </w:rPr>
      </w:pPr>
      <w:r>
        <w:rPr>
          <w:b/>
          <w:bCs/>
        </w:rPr>
        <w:t>ETI</w:t>
      </w:r>
      <w:r>
        <w:rPr>
          <w:b/>
          <w:bCs/>
          <w:lang w:val="el-GR"/>
        </w:rPr>
        <w:t>:</w:t>
      </w:r>
      <w:r>
        <w:rPr>
          <w:lang w:val="el-GR"/>
        </w:rPr>
        <w:t xml:space="preserve"> </w:t>
      </w:r>
      <w:r>
        <w:t>Early</w:t>
      </w:r>
      <w:r>
        <w:rPr>
          <w:lang w:val="el-GR"/>
        </w:rPr>
        <w:t xml:space="preserve"> </w:t>
      </w:r>
      <w:r>
        <w:t>Trauma</w:t>
      </w:r>
      <w:r>
        <w:rPr>
          <w:lang w:val="el-GR"/>
        </w:rPr>
        <w:t xml:space="preserve"> </w:t>
      </w:r>
      <w:r>
        <w:t>Inventory</w:t>
      </w:r>
      <w:r>
        <w:rPr>
          <w:lang w:val="el-GR"/>
        </w:rPr>
        <w:t xml:space="preserve"> — Ερωτηματολόγιο Πρώιμου Τραύματος</w:t>
      </w:r>
    </w:p>
    <w:p w14:paraId="4F7ECE3C" w14:textId="77777777" w:rsidR="00E63D5B" w:rsidRPr="00132066" w:rsidRDefault="001F059D">
      <w:pPr>
        <w:rPr>
          <w:lang w:val="el-GR"/>
        </w:rPr>
      </w:pPr>
      <w:r>
        <w:rPr>
          <w:b/>
          <w:bCs/>
        </w:rPr>
        <w:t>ETI</w:t>
      </w:r>
      <w:r>
        <w:rPr>
          <w:b/>
          <w:bCs/>
          <w:lang w:val="el-GR"/>
        </w:rPr>
        <w:t>-</w:t>
      </w:r>
      <w:r>
        <w:rPr>
          <w:b/>
          <w:bCs/>
        </w:rPr>
        <w:t>SF</w:t>
      </w:r>
      <w:r>
        <w:rPr>
          <w:b/>
          <w:bCs/>
          <w:lang w:val="el-GR"/>
        </w:rPr>
        <w:t>:</w:t>
      </w:r>
      <w:r>
        <w:rPr>
          <w:lang w:val="el-GR"/>
        </w:rPr>
        <w:t xml:space="preserve"> </w:t>
      </w:r>
      <w:r>
        <w:t>Early</w:t>
      </w:r>
      <w:r>
        <w:rPr>
          <w:lang w:val="el-GR"/>
        </w:rPr>
        <w:t xml:space="preserve"> </w:t>
      </w:r>
      <w:r>
        <w:t>Trauma</w:t>
      </w:r>
      <w:r>
        <w:rPr>
          <w:lang w:val="el-GR"/>
        </w:rPr>
        <w:t xml:space="preserve"> </w:t>
      </w:r>
      <w:r>
        <w:t>Inventory</w:t>
      </w:r>
      <w:r>
        <w:rPr>
          <w:lang w:val="el-GR"/>
        </w:rPr>
        <w:t>–</w:t>
      </w:r>
      <w:r>
        <w:t>Short</w:t>
      </w:r>
      <w:r>
        <w:rPr>
          <w:lang w:val="el-GR"/>
        </w:rPr>
        <w:t xml:space="preserve"> </w:t>
      </w:r>
      <w:r>
        <w:t>Form</w:t>
      </w:r>
      <w:r>
        <w:rPr>
          <w:lang w:val="el-GR"/>
        </w:rPr>
        <w:t xml:space="preserve"> — Ερωτηματολόγιο Πρώιμου Τραύματος, Σύντομη Μορφή</w:t>
      </w:r>
    </w:p>
    <w:p w14:paraId="4EBAB115" w14:textId="77777777" w:rsidR="00E63D5B" w:rsidRPr="00132066" w:rsidRDefault="001F059D">
      <w:pPr>
        <w:rPr>
          <w:lang w:val="el-GR"/>
        </w:rPr>
      </w:pPr>
      <w:r>
        <w:rPr>
          <w:b/>
          <w:bCs/>
        </w:rPr>
        <w:t>FRA</w:t>
      </w:r>
      <w:r>
        <w:rPr>
          <w:b/>
          <w:bCs/>
          <w:lang w:val="el-GR"/>
        </w:rPr>
        <w:t>:</w:t>
      </w:r>
      <w:r>
        <w:rPr>
          <w:lang w:val="el-GR"/>
        </w:rPr>
        <w:t xml:space="preserve"> </w:t>
      </w:r>
      <w:r>
        <w:t>European</w:t>
      </w:r>
      <w:r>
        <w:rPr>
          <w:lang w:val="el-GR"/>
        </w:rPr>
        <w:t xml:space="preserve"> </w:t>
      </w:r>
      <w:r>
        <w:t>Union</w:t>
      </w:r>
      <w:r>
        <w:rPr>
          <w:lang w:val="el-GR"/>
        </w:rPr>
        <w:t xml:space="preserve"> </w:t>
      </w:r>
      <w:r>
        <w:t>Agency</w:t>
      </w:r>
      <w:r>
        <w:rPr>
          <w:lang w:val="el-GR"/>
        </w:rPr>
        <w:t xml:space="preserve"> </w:t>
      </w:r>
      <w:r>
        <w:t>for</w:t>
      </w:r>
      <w:r>
        <w:rPr>
          <w:lang w:val="el-GR"/>
        </w:rPr>
        <w:t xml:space="preserve"> </w:t>
      </w:r>
      <w:r>
        <w:t>Fundamental</w:t>
      </w:r>
      <w:r>
        <w:rPr>
          <w:lang w:val="el-GR"/>
        </w:rPr>
        <w:t xml:space="preserve"> </w:t>
      </w:r>
      <w:r>
        <w:t>Rights</w:t>
      </w:r>
      <w:r>
        <w:rPr>
          <w:lang w:val="el-GR"/>
        </w:rPr>
        <w:t xml:space="preserve"> — Οργανισμός Θεμελιωδών Δικαιωμάτων της Ευρωπαϊκής Ένωσης</w:t>
      </w:r>
    </w:p>
    <w:p w14:paraId="6B2851EF" w14:textId="77777777" w:rsidR="00E63D5B" w:rsidRPr="00132066" w:rsidRDefault="001F059D">
      <w:pPr>
        <w:rPr>
          <w:lang w:val="el-GR"/>
        </w:rPr>
      </w:pPr>
      <w:r>
        <w:rPr>
          <w:b/>
          <w:bCs/>
        </w:rPr>
        <w:t>GREVIO</w:t>
      </w:r>
      <w:r>
        <w:rPr>
          <w:b/>
          <w:bCs/>
          <w:lang w:val="el-GR"/>
        </w:rPr>
        <w:t>:</w:t>
      </w:r>
      <w:r>
        <w:rPr>
          <w:lang w:val="el-GR"/>
        </w:rPr>
        <w:t xml:space="preserve"> </w:t>
      </w:r>
      <w:r>
        <w:t>Group</w:t>
      </w:r>
      <w:r>
        <w:rPr>
          <w:lang w:val="el-GR"/>
        </w:rPr>
        <w:t xml:space="preserve"> </w:t>
      </w:r>
      <w:r>
        <w:t>of</w:t>
      </w:r>
      <w:r>
        <w:rPr>
          <w:lang w:val="el-GR"/>
        </w:rPr>
        <w:t xml:space="preserve"> </w:t>
      </w:r>
      <w:r>
        <w:t>Experts</w:t>
      </w:r>
      <w:r>
        <w:rPr>
          <w:lang w:val="el-GR"/>
        </w:rPr>
        <w:t xml:space="preserve"> </w:t>
      </w:r>
      <w:r>
        <w:t>on</w:t>
      </w:r>
      <w:r>
        <w:rPr>
          <w:lang w:val="el-GR"/>
        </w:rPr>
        <w:t xml:space="preserve"> </w:t>
      </w:r>
      <w:r>
        <w:t>Action</w:t>
      </w:r>
      <w:r>
        <w:rPr>
          <w:lang w:val="el-GR"/>
        </w:rPr>
        <w:t xml:space="preserve"> </w:t>
      </w:r>
      <w:r>
        <w:t>against</w:t>
      </w:r>
      <w:r>
        <w:rPr>
          <w:lang w:val="el-GR"/>
        </w:rPr>
        <w:t xml:space="preserve"> </w:t>
      </w:r>
      <w:r>
        <w:t>Violence</w:t>
      </w:r>
      <w:r>
        <w:rPr>
          <w:lang w:val="el-GR"/>
        </w:rPr>
        <w:t xml:space="preserve"> </w:t>
      </w:r>
      <w:r>
        <w:t>against</w:t>
      </w:r>
      <w:r>
        <w:rPr>
          <w:lang w:val="el-GR"/>
        </w:rPr>
        <w:t xml:space="preserve"> </w:t>
      </w:r>
      <w:r>
        <w:t>Women</w:t>
      </w:r>
      <w:r>
        <w:rPr>
          <w:lang w:val="el-GR"/>
        </w:rPr>
        <w:t xml:space="preserve"> </w:t>
      </w:r>
      <w:r>
        <w:t>and</w:t>
      </w:r>
      <w:r>
        <w:rPr>
          <w:lang w:val="el-GR"/>
        </w:rPr>
        <w:t xml:space="preserve"> </w:t>
      </w:r>
      <w:r>
        <w:t>Domestic</w:t>
      </w:r>
      <w:r>
        <w:rPr>
          <w:lang w:val="el-GR"/>
        </w:rPr>
        <w:t xml:space="preserve"> </w:t>
      </w:r>
      <w:r>
        <w:t>Violence</w:t>
      </w:r>
      <w:r>
        <w:rPr>
          <w:lang w:val="el-GR"/>
        </w:rPr>
        <w:t xml:space="preserve"> — Ομάδα Εμπειρογνωμόνων για τη Δράση κατά της Βίας κατά των Γυναικών και της Ενδοοικογενειακής Βίας</w:t>
      </w:r>
    </w:p>
    <w:p w14:paraId="04DC3FD4" w14:textId="77777777" w:rsidR="00E63D5B" w:rsidRDefault="001F059D">
      <w:r>
        <w:rPr>
          <w:b/>
          <w:bCs/>
        </w:rPr>
        <w:t>HITS-C:</w:t>
      </w:r>
      <w:r>
        <w:t xml:space="preserve"> Hurt, Insult, Threaten, Scream–Child — </w:t>
      </w:r>
      <w:proofErr w:type="spellStart"/>
      <w:r>
        <w:t>Ερωτημ</w:t>
      </w:r>
      <w:proofErr w:type="spellEnd"/>
      <w:r>
        <w:t xml:space="preserve">ατολόγιο </w:t>
      </w:r>
      <w:proofErr w:type="spellStart"/>
      <w:r>
        <w:t>Έκθεσης</w:t>
      </w:r>
      <w:proofErr w:type="spellEnd"/>
      <w:r>
        <w:t xml:space="preserve"> Πα</w:t>
      </w:r>
      <w:proofErr w:type="spellStart"/>
      <w:r>
        <w:t>ιδιού</w:t>
      </w:r>
      <w:proofErr w:type="spellEnd"/>
      <w:r>
        <w:t xml:space="preserve"> </w:t>
      </w:r>
      <w:proofErr w:type="spellStart"/>
      <w:r>
        <w:t>σε</w:t>
      </w:r>
      <w:proofErr w:type="spellEnd"/>
      <w:r>
        <w:t xml:space="preserve"> </w:t>
      </w:r>
      <w:proofErr w:type="spellStart"/>
      <w:r>
        <w:t>Βί</w:t>
      </w:r>
      <w:proofErr w:type="spellEnd"/>
      <w:r>
        <w:t>α</w:t>
      </w:r>
    </w:p>
    <w:p w14:paraId="10896130" w14:textId="77777777" w:rsidR="00E63D5B" w:rsidRDefault="001F059D">
      <w:r>
        <w:rPr>
          <w:b/>
          <w:bCs/>
        </w:rPr>
        <w:t>OHCHR:</w:t>
      </w:r>
      <w:r>
        <w:t xml:space="preserve"> Office of the United Nations High Commissioner for Human Rights — Ύπα</w:t>
      </w:r>
      <w:proofErr w:type="spellStart"/>
      <w:r>
        <w:t>τη</w:t>
      </w:r>
      <w:proofErr w:type="spellEnd"/>
      <w:r>
        <w:t xml:space="preserve"> </w:t>
      </w:r>
      <w:proofErr w:type="spellStart"/>
      <w:r>
        <w:t>Αρμοστεί</w:t>
      </w:r>
      <w:proofErr w:type="spellEnd"/>
      <w:r>
        <w:t xml:space="preserve">α </w:t>
      </w:r>
      <w:proofErr w:type="spellStart"/>
      <w:r>
        <w:t>του</w:t>
      </w:r>
      <w:proofErr w:type="spellEnd"/>
      <w:r>
        <w:t xml:space="preserve"> ΟΗΕ </w:t>
      </w:r>
      <w:proofErr w:type="spellStart"/>
      <w:r>
        <w:t>γι</w:t>
      </w:r>
      <w:proofErr w:type="spellEnd"/>
      <w:r>
        <w:t xml:space="preserve">α τα </w:t>
      </w:r>
      <w:proofErr w:type="spellStart"/>
      <w:r>
        <w:t>Ανθρώ</w:t>
      </w:r>
      <w:proofErr w:type="spellEnd"/>
      <w:r>
        <w:t xml:space="preserve">πινα </w:t>
      </w:r>
      <w:proofErr w:type="spellStart"/>
      <w:r>
        <w:t>Δικ</w:t>
      </w:r>
      <w:proofErr w:type="spellEnd"/>
      <w:r>
        <w:t>αιώματα</w:t>
      </w:r>
    </w:p>
    <w:p w14:paraId="0162389F" w14:textId="77777777" w:rsidR="00E63D5B" w:rsidRDefault="001F059D">
      <w:r>
        <w:rPr>
          <w:b/>
          <w:bCs/>
        </w:rPr>
        <w:t>PBI:</w:t>
      </w:r>
      <w:r>
        <w:t xml:space="preserve"> Parental Bonding Instrument — </w:t>
      </w:r>
      <w:proofErr w:type="spellStart"/>
      <w:r>
        <w:t>Ερωτημ</w:t>
      </w:r>
      <w:proofErr w:type="spellEnd"/>
      <w:r>
        <w:t xml:space="preserve">ατολόγιο Γονεϊκού </w:t>
      </w:r>
      <w:proofErr w:type="spellStart"/>
      <w:r>
        <w:t>Δεσμού</w:t>
      </w:r>
      <w:proofErr w:type="spellEnd"/>
    </w:p>
    <w:p w14:paraId="3022D87F" w14:textId="77777777" w:rsidR="00E63D5B" w:rsidRDefault="001F059D">
      <w:r>
        <w:rPr>
          <w:b/>
          <w:bCs/>
        </w:rPr>
        <w:t>PBQ:</w:t>
      </w:r>
      <w:r>
        <w:t xml:space="preserve"> Parental Behavior Questionnaire — </w:t>
      </w:r>
      <w:proofErr w:type="spellStart"/>
      <w:r>
        <w:t>Ερωτημ</w:t>
      </w:r>
      <w:proofErr w:type="spellEnd"/>
      <w:r>
        <w:t xml:space="preserve">ατολόγιο </w:t>
      </w:r>
      <w:proofErr w:type="spellStart"/>
      <w:r>
        <w:t>Γονικής</w:t>
      </w:r>
      <w:proofErr w:type="spellEnd"/>
      <w:r>
        <w:t xml:space="preserve"> </w:t>
      </w:r>
      <w:proofErr w:type="spellStart"/>
      <w:r>
        <w:t>Συμ</w:t>
      </w:r>
      <w:proofErr w:type="spellEnd"/>
      <w:r>
        <w:t>περιφοράς</w:t>
      </w:r>
    </w:p>
    <w:p w14:paraId="43D84479" w14:textId="77777777" w:rsidR="00E63D5B" w:rsidRDefault="001F059D">
      <w:r>
        <w:rPr>
          <w:b/>
          <w:bCs/>
        </w:rPr>
        <w:t>PCIT:</w:t>
      </w:r>
      <w:r>
        <w:t xml:space="preserve"> Parent–Child Interaction Therapy — </w:t>
      </w:r>
      <w:proofErr w:type="spellStart"/>
      <w:r>
        <w:t>Θερ</w:t>
      </w:r>
      <w:proofErr w:type="spellEnd"/>
      <w:r>
        <w:t xml:space="preserve">απεία </w:t>
      </w:r>
      <w:proofErr w:type="spellStart"/>
      <w:r>
        <w:t>Αλληλε</w:t>
      </w:r>
      <w:proofErr w:type="spellEnd"/>
      <w:r>
        <w:t xml:space="preserve">πίδρασης </w:t>
      </w:r>
      <w:proofErr w:type="spellStart"/>
      <w:r>
        <w:t>Γονέ</w:t>
      </w:r>
      <w:proofErr w:type="spellEnd"/>
      <w:r>
        <w:t>α–Παιδιού</w:t>
      </w:r>
    </w:p>
    <w:p w14:paraId="5AC7AE1C" w14:textId="77777777" w:rsidR="00E63D5B" w:rsidRPr="00132066" w:rsidRDefault="001F059D">
      <w:pPr>
        <w:rPr>
          <w:lang w:val="el-GR"/>
        </w:rPr>
      </w:pPr>
      <w:r>
        <w:rPr>
          <w:b/>
          <w:bCs/>
        </w:rPr>
        <w:t>PCL</w:t>
      </w:r>
      <w:r>
        <w:rPr>
          <w:b/>
          <w:bCs/>
          <w:lang w:val="el-GR"/>
        </w:rPr>
        <w:t>-5:</w:t>
      </w:r>
      <w:r>
        <w:rPr>
          <w:lang w:val="el-GR"/>
        </w:rPr>
        <w:t xml:space="preserve"> </w:t>
      </w:r>
      <w:r>
        <w:t>PTSD</w:t>
      </w:r>
      <w:r>
        <w:rPr>
          <w:lang w:val="el-GR"/>
        </w:rPr>
        <w:t xml:space="preserve"> </w:t>
      </w:r>
      <w:r>
        <w:t>Checklist</w:t>
      </w:r>
      <w:r>
        <w:rPr>
          <w:lang w:val="el-GR"/>
        </w:rPr>
        <w:t xml:space="preserve"> </w:t>
      </w:r>
      <w:r>
        <w:t>for</w:t>
      </w:r>
      <w:r>
        <w:rPr>
          <w:lang w:val="el-GR"/>
        </w:rPr>
        <w:t xml:space="preserve"> </w:t>
      </w:r>
      <w:r>
        <w:t>DSM</w:t>
      </w:r>
      <w:r>
        <w:rPr>
          <w:lang w:val="el-GR"/>
        </w:rPr>
        <w:t xml:space="preserve">-5 — Λίστα Ελέγχου για τη ΔΜΤΣ σύμφωνα με το </w:t>
      </w:r>
      <w:r>
        <w:t>DSM</w:t>
      </w:r>
      <w:r>
        <w:rPr>
          <w:lang w:val="el-GR"/>
        </w:rPr>
        <w:t>-5</w:t>
      </w:r>
    </w:p>
    <w:p w14:paraId="396F49BB" w14:textId="77777777" w:rsidR="00E63D5B" w:rsidRPr="00132066" w:rsidRDefault="001F059D">
      <w:pPr>
        <w:rPr>
          <w:lang w:val="el-GR"/>
        </w:rPr>
      </w:pPr>
      <w:r>
        <w:rPr>
          <w:b/>
          <w:bCs/>
        </w:rPr>
        <w:t>PHQ</w:t>
      </w:r>
      <w:r>
        <w:rPr>
          <w:b/>
          <w:bCs/>
          <w:lang w:val="el-GR"/>
        </w:rPr>
        <w:t>-9:</w:t>
      </w:r>
      <w:r>
        <w:rPr>
          <w:lang w:val="el-GR"/>
        </w:rPr>
        <w:t xml:space="preserve"> </w:t>
      </w:r>
      <w:r>
        <w:t>Patient</w:t>
      </w:r>
      <w:r>
        <w:rPr>
          <w:lang w:val="el-GR"/>
        </w:rPr>
        <w:t xml:space="preserve"> </w:t>
      </w:r>
      <w:r>
        <w:t>Health</w:t>
      </w:r>
      <w:r>
        <w:rPr>
          <w:lang w:val="el-GR"/>
        </w:rPr>
        <w:t xml:space="preserve"> </w:t>
      </w:r>
      <w:proofErr w:type="gramStart"/>
      <w:r>
        <w:t>Questionnaire</w:t>
      </w:r>
      <w:r>
        <w:rPr>
          <w:lang w:val="el-GR"/>
        </w:rPr>
        <w:t>-9 — Ερωτηματολόγιο Υγείας Ασθενούς-9</w:t>
      </w:r>
      <w:proofErr w:type="gramEnd"/>
    </w:p>
    <w:p w14:paraId="7D6C5170" w14:textId="77777777" w:rsidR="00E63D5B" w:rsidRPr="00132066" w:rsidRDefault="001F059D">
      <w:pPr>
        <w:rPr>
          <w:lang w:val="el-GR"/>
        </w:rPr>
      </w:pPr>
      <w:r>
        <w:rPr>
          <w:b/>
          <w:bCs/>
        </w:rPr>
        <w:t>PSS</w:t>
      </w:r>
      <w:r>
        <w:rPr>
          <w:b/>
          <w:bCs/>
          <w:lang w:val="el-GR"/>
        </w:rPr>
        <w:t>-10:</w:t>
      </w:r>
      <w:r>
        <w:rPr>
          <w:lang w:val="el-GR"/>
        </w:rPr>
        <w:t xml:space="preserve"> </w:t>
      </w:r>
      <w:r>
        <w:t>Perceived</w:t>
      </w:r>
      <w:r>
        <w:rPr>
          <w:lang w:val="el-GR"/>
        </w:rPr>
        <w:t xml:space="preserve"> </w:t>
      </w:r>
      <w:r>
        <w:t>Stress</w:t>
      </w:r>
      <w:r>
        <w:rPr>
          <w:lang w:val="el-GR"/>
        </w:rPr>
        <w:t xml:space="preserve"> </w:t>
      </w:r>
      <w:r>
        <w:t>Scale</w:t>
      </w:r>
      <w:r>
        <w:rPr>
          <w:lang w:val="el-GR"/>
        </w:rPr>
        <w:t>-10 — Κλίμακα Αντιλαμβανόμενου Στρες-10</w:t>
      </w:r>
    </w:p>
    <w:p w14:paraId="3F7D32F8" w14:textId="77777777" w:rsidR="00E63D5B" w:rsidRPr="00132066" w:rsidRDefault="001F059D">
      <w:pPr>
        <w:rPr>
          <w:lang w:val="el-GR"/>
        </w:rPr>
      </w:pPr>
      <w:r>
        <w:rPr>
          <w:b/>
          <w:bCs/>
        </w:rPr>
        <w:t>PTGI</w:t>
      </w:r>
      <w:r>
        <w:rPr>
          <w:b/>
          <w:bCs/>
          <w:lang w:val="el-GR"/>
        </w:rPr>
        <w:t>:</w:t>
      </w:r>
      <w:r>
        <w:rPr>
          <w:lang w:val="el-GR"/>
        </w:rPr>
        <w:t xml:space="preserve"> </w:t>
      </w:r>
      <w:r>
        <w:t>Posttraumatic</w:t>
      </w:r>
      <w:r>
        <w:rPr>
          <w:lang w:val="el-GR"/>
        </w:rPr>
        <w:t xml:space="preserve"> </w:t>
      </w:r>
      <w:r>
        <w:t>Growth</w:t>
      </w:r>
      <w:r>
        <w:rPr>
          <w:lang w:val="el-GR"/>
        </w:rPr>
        <w:t xml:space="preserve"> </w:t>
      </w:r>
      <w:r>
        <w:t>Inventory</w:t>
      </w:r>
      <w:r>
        <w:rPr>
          <w:lang w:val="el-GR"/>
        </w:rPr>
        <w:t xml:space="preserve"> — Ερωτηματολόγιο </w:t>
      </w:r>
      <w:proofErr w:type="spellStart"/>
      <w:r>
        <w:rPr>
          <w:lang w:val="el-GR"/>
        </w:rPr>
        <w:t>Μετατραυματικής</w:t>
      </w:r>
      <w:proofErr w:type="spellEnd"/>
      <w:r>
        <w:rPr>
          <w:lang w:val="el-GR"/>
        </w:rPr>
        <w:t xml:space="preserve"> Ανάπτυξης</w:t>
      </w:r>
    </w:p>
    <w:p w14:paraId="4119228B" w14:textId="77777777" w:rsidR="00E63D5B" w:rsidRPr="00132066" w:rsidRDefault="001F059D">
      <w:pPr>
        <w:rPr>
          <w:lang w:val="el-GR"/>
        </w:rPr>
      </w:pPr>
      <w:r>
        <w:rPr>
          <w:b/>
          <w:bCs/>
        </w:rPr>
        <w:lastRenderedPageBreak/>
        <w:t>PTGI</w:t>
      </w:r>
      <w:r>
        <w:rPr>
          <w:b/>
          <w:bCs/>
          <w:lang w:val="el-GR"/>
        </w:rPr>
        <w:t>-</w:t>
      </w:r>
      <w:r>
        <w:rPr>
          <w:b/>
          <w:bCs/>
        </w:rPr>
        <w:t>C</w:t>
      </w:r>
      <w:r>
        <w:rPr>
          <w:b/>
          <w:bCs/>
          <w:lang w:val="el-GR"/>
        </w:rPr>
        <w:t>-</w:t>
      </w:r>
      <w:r>
        <w:rPr>
          <w:b/>
          <w:bCs/>
        </w:rPr>
        <w:t>R</w:t>
      </w:r>
      <w:r>
        <w:rPr>
          <w:b/>
          <w:bCs/>
          <w:lang w:val="el-GR"/>
        </w:rPr>
        <w:t>:</w:t>
      </w:r>
      <w:r>
        <w:rPr>
          <w:lang w:val="el-GR"/>
        </w:rPr>
        <w:t xml:space="preserve"> </w:t>
      </w:r>
      <w:r>
        <w:t>Posttraumatic</w:t>
      </w:r>
      <w:r>
        <w:rPr>
          <w:lang w:val="el-GR"/>
        </w:rPr>
        <w:t xml:space="preserve"> </w:t>
      </w:r>
      <w:r>
        <w:t>Growth</w:t>
      </w:r>
      <w:r>
        <w:rPr>
          <w:lang w:val="el-GR"/>
        </w:rPr>
        <w:t xml:space="preserve"> </w:t>
      </w:r>
      <w:r>
        <w:t>Inventory</w:t>
      </w:r>
      <w:r>
        <w:rPr>
          <w:lang w:val="el-GR"/>
        </w:rPr>
        <w:t xml:space="preserve"> </w:t>
      </w:r>
      <w:r>
        <w:t>for</w:t>
      </w:r>
      <w:r>
        <w:rPr>
          <w:lang w:val="el-GR"/>
        </w:rPr>
        <w:t xml:space="preserve"> </w:t>
      </w:r>
      <w:r>
        <w:t>Children</w:t>
      </w:r>
      <w:r>
        <w:rPr>
          <w:lang w:val="el-GR"/>
        </w:rPr>
        <w:t>–</w:t>
      </w:r>
      <w:r>
        <w:t>Revised</w:t>
      </w:r>
      <w:r>
        <w:rPr>
          <w:lang w:val="el-GR"/>
        </w:rPr>
        <w:t xml:space="preserve"> — Αναθεωρημένο Ερωτηματολόγιο </w:t>
      </w:r>
      <w:proofErr w:type="spellStart"/>
      <w:r>
        <w:rPr>
          <w:lang w:val="el-GR"/>
        </w:rPr>
        <w:t>Μετατραυματικής</w:t>
      </w:r>
      <w:proofErr w:type="spellEnd"/>
      <w:r>
        <w:rPr>
          <w:lang w:val="el-GR"/>
        </w:rPr>
        <w:t xml:space="preserve"> Ανάπτυξης για Παιδιά</w:t>
      </w:r>
    </w:p>
    <w:p w14:paraId="7C4F0F26" w14:textId="77777777" w:rsidR="00E63D5B" w:rsidRPr="00132066" w:rsidRDefault="001F059D">
      <w:pPr>
        <w:rPr>
          <w:lang w:val="el-GR"/>
        </w:rPr>
      </w:pPr>
      <w:r>
        <w:rPr>
          <w:b/>
          <w:bCs/>
        </w:rPr>
        <w:t>SAMHSA</w:t>
      </w:r>
      <w:r>
        <w:rPr>
          <w:b/>
          <w:bCs/>
          <w:lang w:val="el-GR"/>
        </w:rPr>
        <w:t>:</w:t>
      </w:r>
      <w:r>
        <w:rPr>
          <w:lang w:val="el-GR"/>
        </w:rPr>
        <w:t xml:space="preserve"> </w:t>
      </w:r>
      <w:r>
        <w:t>Substance</w:t>
      </w:r>
      <w:r>
        <w:rPr>
          <w:lang w:val="el-GR"/>
        </w:rPr>
        <w:t xml:space="preserve"> </w:t>
      </w:r>
      <w:r>
        <w:t>Abuse</w:t>
      </w:r>
      <w:r>
        <w:rPr>
          <w:lang w:val="el-GR"/>
        </w:rPr>
        <w:t xml:space="preserve"> </w:t>
      </w:r>
      <w:r>
        <w:t>and</w:t>
      </w:r>
      <w:r>
        <w:rPr>
          <w:lang w:val="el-GR"/>
        </w:rPr>
        <w:t xml:space="preserve"> </w:t>
      </w:r>
      <w:r>
        <w:t>Mental</w:t>
      </w:r>
      <w:r>
        <w:rPr>
          <w:lang w:val="el-GR"/>
        </w:rPr>
        <w:t xml:space="preserve"> </w:t>
      </w:r>
      <w:r>
        <w:t>Health</w:t>
      </w:r>
      <w:r>
        <w:rPr>
          <w:lang w:val="el-GR"/>
        </w:rPr>
        <w:t xml:space="preserve"> </w:t>
      </w:r>
      <w:r>
        <w:t>Services</w:t>
      </w:r>
      <w:r>
        <w:rPr>
          <w:lang w:val="el-GR"/>
        </w:rPr>
        <w:t xml:space="preserve"> </w:t>
      </w:r>
      <w:r>
        <w:t>Administration</w:t>
      </w:r>
      <w:r>
        <w:rPr>
          <w:lang w:val="el-GR"/>
        </w:rPr>
        <w:t xml:space="preserve"> — Διοίκηση Υπηρεσιών για την Κατάχρηση Ουσιών και την Ψυχική Υγεία</w:t>
      </w:r>
    </w:p>
    <w:p w14:paraId="00053126" w14:textId="77777777" w:rsidR="00E63D5B" w:rsidRPr="00132066" w:rsidRDefault="001F059D">
      <w:pPr>
        <w:rPr>
          <w:lang w:val="el-GR"/>
        </w:rPr>
      </w:pPr>
      <w:r>
        <w:rPr>
          <w:b/>
          <w:bCs/>
        </w:rPr>
        <w:t>SDQ</w:t>
      </w:r>
      <w:r>
        <w:rPr>
          <w:b/>
          <w:bCs/>
          <w:lang w:val="el-GR"/>
        </w:rPr>
        <w:t>:</w:t>
      </w:r>
      <w:r>
        <w:rPr>
          <w:lang w:val="el-GR"/>
        </w:rPr>
        <w:t xml:space="preserve"> </w:t>
      </w:r>
      <w:r>
        <w:t>Strengths</w:t>
      </w:r>
      <w:r>
        <w:rPr>
          <w:lang w:val="el-GR"/>
        </w:rPr>
        <w:t xml:space="preserve"> </w:t>
      </w:r>
      <w:r>
        <w:t>and</w:t>
      </w:r>
      <w:r>
        <w:rPr>
          <w:lang w:val="el-GR"/>
        </w:rPr>
        <w:t xml:space="preserve"> </w:t>
      </w:r>
      <w:r>
        <w:t>Difficulties</w:t>
      </w:r>
      <w:r>
        <w:rPr>
          <w:lang w:val="el-GR"/>
        </w:rPr>
        <w:t xml:space="preserve"> </w:t>
      </w:r>
      <w:r>
        <w:t>Questionnaire</w:t>
      </w:r>
      <w:r>
        <w:rPr>
          <w:lang w:val="el-GR"/>
        </w:rPr>
        <w:t xml:space="preserve"> — Ερωτηματολόγιο Δυνατοτήτων και Δυσκολιών</w:t>
      </w:r>
    </w:p>
    <w:p w14:paraId="623B3A85" w14:textId="77777777" w:rsidR="00E63D5B" w:rsidRPr="00132066" w:rsidRDefault="001F059D">
      <w:pPr>
        <w:rPr>
          <w:lang w:val="el-GR"/>
        </w:rPr>
      </w:pPr>
      <w:r>
        <w:rPr>
          <w:b/>
          <w:bCs/>
        </w:rPr>
        <w:t>UN</w:t>
      </w:r>
      <w:r>
        <w:rPr>
          <w:b/>
          <w:bCs/>
          <w:lang w:val="el-GR"/>
        </w:rPr>
        <w:t xml:space="preserve"> </w:t>
      </w:r>
      <w:r>
        <w:rPr>
          <w:b/>
          <w:bCs/>
        </w:rPr>
        <w:t>Women</w:t>
      </w:r>
      <w:r>
        <w:rPr>
          <w:b/>
          <w:bCs/>
          <w:lang w:val="el-GR"/>
        </w:rPr>
        <w:t>:</w:t>
      </w:r>
      <w:r>
        <w:rPr>
          <w:lang w:val="el-GR"/>
        </w:rPr>
        <w:t xml:space="preserve"> </w:t>
      </w:r>
      <w:r>
        <w:t>United</w:t>
      </w:r>
      <w:r>
        <w:rPr>
          <w:lang w:val="el-GR"/>
        </w:rPr>
        <w:t xml:space="preserve"> </w:t>
      </w:r>
      <w:r>
        <w:t>Nations</w:t>
      </w:r>
      <w:r>
        <w:rPr>
          <w:lang w:val="el-GR"/>
        </w:rPr>
        <w:t xml:space="preserve"> </w:t>
      </w:r>
      <w:r>
        <w:t>Entity</w:t>
      </w:r>
      <w:r>
        <w:rPr>
          <w:lang w:val="el-GR"/>
        </w:rPr>
        <w:t xml:space="preserve"> </w:t>
      </w:r>
      <w:r>
        <w:t>for</w:t>
      </w:r>
      <w:r>
        <w:rPr>
          <w:lang w:val="el-GR"/>
        </w:rPr>
        <w:t xml:space="preserve"> </w:t>
      </w:r>
      <w:r>
        <w:t>Gender</w:t>
      </w:r>
      <w:r>
        <w:rPr>
          <w:lang w:val="el-GR"/>
        </w:rPr>
        <w:t xml:space="preserve"> </w:t>
      </w:r>
      <w:r>
        <w:t>Equality</w:t>
      </w:r>
      <w:r>
        <w:rPr>
          <w:lang w:val="el-GR"/>
        </w:rPr>
        <w:t xml:space="preserve"> </w:t>
      </w:r>
      <w:r>
        <w:t>and</w:t>
      </w:r>
      <w:r>
        <w:rPr>
          <w:lang w:val="el-GR"/>
        </w:rPr>
        <w:t xml:space="preserve"> </w:t>
      </w:r>
      <w:r>
        <w:t>the</w:t>
      </w:r>
      <w:r>
        <w:rPr>
          <w:lang w:val="el-GR"/>
        </w:rPr>
        <w:t xml:space="preserve"> </w:t>
      </w:r>
      <w:r>
        <w:t>Empowerment</w:t>
      </w:r>
      <w:r>
        <w:rPr>
          <w:lang w:val="el-GR"/>
        </w:rPr>
        <w:t xml:space="preserve"> </w:t>
      </w:r>
      <w:r>
        <w:t>of</w:t>
      </w:r>
      <w:r>
        <w:rPr>
          <w:lang w:val="el-GR"/>
        </w:rPr>
        <w:t xml:space="preserve"> </w:t>
      </w:r>
      <w:r>
        <w:t>Women</w:t>
      </w:r>
      <w:r>
        <w:rPr>
          <w:lang w:val="el-GR"/>
        </w:rPr>
        <w:t xml:space="preserve"> — Οργανισμός των Ηνωμένων Εθνών για την Ισότητα των Φύλων και την Ενδυνάμωση των Γυναικών</w:t>
      </w:r>
    </w:p>
    <w:p w14:paraId="1540F79B" w14:textId="77777777" w:rsidR="00E63D5B" w:rsidRDefault="001F059D">
      <w:r>
        <w:rPr>
          <w:b/>
          <w:bCs/>
        </w:rPr>
        <w:t>UNDAW:</w:t>
      </w:r>
      <w:r>
        <w:t xml:space="preserve"> United Nations Division for the Advancement of Women — </w:t>
      </w:r>
      <w:proofErr w:type="spellStart"/>
      <w:r>
        <w:t>Τμήμ</w:t>
      </w:r>
      <w:proofErr w:type="spellEnd"/>
      <w:r>
        <w:t xml:space="preserve">α </w:t>
      </w:r>
      <w:proofErr w:type="spellStart"/>
      <w:r>
        <w:t>των</w:t>
      </w:r>
      <w:proofErr w:type="spellEnd"/>
      <w:r>
        <w:t xml:space="preserve"> </w:t>
      </w:r>
      <w:proofErr w:type="spellStart"/>
      <w:r>
        <w:t>Ηνωμένων</w:t>
      </w:r>
      <w:proofErr w:type="spellEnd"/>
      <w:r>
        <w:t xml:space="preserve"> </w:t>
      </w:r>
      <w:proofErr w:type="spellStart"/>
      <w:r>
        <w:t>Εθνών</w:t>
      </w:r>
      <w:proofErr w:type="spellEnd"/>
      <w:r>
        <w:t xml:space="preserve"> </w:t>
      </w:r>
      <w:proofErr w:type="spellStart"/>
      <w:r>
        <w:t>γι</w:t>
      </w:r>
      <w:proofErr w:type="spellEnd"/>
      <w:r>
        <w:t xml:space="preserve">α </w:t>
      </w:r>
      <w:proofErr w:type="spellStart"/>
      <w:r>
        <w:t>την</w:t>
      </w:r>
      <w:proofErr w:type="spellEnd"/>
      <w:r>
        <w:t xml:space="preserve"> </w:t>
      </w:r>
      <w:proofErr w:type="spellStart"/>
      <w:r>
        <w:t>Προώθηση</w:t>
      </w:r>
      <w:proofErr w:type="spellEnd"/>
      <w:r>
        <w:t xml:space="preserve"> </w:t>
      </w:r>
      <w:proofErr w:type="spellStart"/>
      <w:r>
        <w:t>των</w:t>
      </w:r>
      <w:proofErr w:type="spellEnd"/>
      <w:r>
        <w:t xml:space="preserve"> </w:t>
      </w:r>
      <w:proofErr w:type="spellStart"/>
      <w:r>
        <w:t>Γυν</w:t>
      </w:r>
      <w:proofErr w:type="spellEnd"/>
      <w:r>
        <w:t>αικών</w:t>
      </w:r>
    </w:p>
    <w:p w14:paraId="7867BD3D" w14:textId="77777777" w:rsidR="00E63D5B" w:rsidRPr="00132066" w:rsidRDefault="001F059D">
      <w:pPr>
        <w:rPr>
          <w:lang w:val="el-GR"/>
        </w:rPr>
      </w:pPr>
      <w:r>
        <w:rPr>
          <w:b/>
          <w:bCs/>
        </w:rPr>
        <w:t>UNFPA</w:t>
      </w:r>
      <w:r>
        <w:rPr>
          <w:b/>
          <w:bCs/>
          <w:lang w:val="el-GR"/>
        </w:rPr>
        <w:t>:</w:t>
      </w:r>
      <w:r>
        <w:rPr>
          <w:lang w:val="el-GR"/>
        </w:rPr>
        <w:t xml:space="preserve"> </w:t>
      </w:r>
      <w:r>
        <w:t>United</w:t>
      </w:r>
      <w:r>
        <w:rPr>
          <w:lang w:val="el-GR"/>
        </w:rPr>
        <w:t xml:space="preserve"> </w:t>
      </w:r>
      <w:r>
        <w:t>Nations</w:t>
      </w:r>
      <w:r>
        <w:rPr>
          <w:lang w:val="el-GR"/>
        </w:rPr>
        <w:t xml:space="preserve"> </w:t>
      </w:r>
      <w:r>
        <w:t>Population</w:t>
      </w:r>
      <w:r>
        <w:rPr>
          <w:lang w:val="el-GR"/>
        </w:rPr>
        <w:t xml:space="preserve"> </w:t>
      </w:r>
      <w:r>
        <w:t>Fund</w:t>
      </w:r>
      <w:r>
        <w:rPr>
          <w:lang w:val="el-GR"/>
        </w:rPr>
        <w:t xml:space="preserve"> — Ταμείο των Ηνωμένων Εθνών για τον Πληθυσμό</w:t>
      </w:r>
    </w:p>
    <w:p w14:paraId="3ED3B563" w14:textId="77777777" w:rsidR="00E63D5B" w:rsidRDefault="001F059D">
      <w:r>
        <w:rPr>
          <w:b/>
          <w:bCs/>
        </w:rPr>
        <w:t>UNHCR:</w:t>
      </w:r>
      <w:r>
        <w:t xml:space="preserve"> United Nations High Commissioner for Refugees — Ύπα</w:t>
      </w:r>
      <w:proofErr w:type="spellStart"/>
      <w:r>
        <w:t>τη</w:t>
      </w:r>
      <w:proofErr w:type="spellEnd"/>
      <w:r>
        <w:t xml:space="preserve"> </w:t>
      </w:r>
      <w:proofErr w:type="spellStart"/>
      <w:r>
        <w:t>Αρμοστεί</w:t>
      </w:r>
      <w:proofErr w:type="spellEnd"/>
      <w:r>
        <w:t xml:space="preserve">α </w:t>
      </w:r>
      <w:proofErr w:type="spellStart"/>
      <w:r>
        <w:t>του</w:t>
      </w:r>
      <w:proofErr w:type="spellEnd"/>
      <w:r>
        <w:t xml:space="preserve"> ΟΗΕ </w:t>
      </w:r>
      <w:proofErr w:type="spellStart"/>
      <w:r>
        <w:t>γι</w:t>
      </w:r>
      <w:proofErr w:type="spellEnd"/>
      <w:r>
        <w:t xml:space="preserve">α </w:t>
      </w:r>
      <w:proofErr w:type="spellStart"/>
      <w:r>
        <w:t>τους</w:t>
      </w:r>
      <w:proofErr w:type="spellEnd"/>
      <w:r>
        <w:t xml:space="preserve"> </w:t>
      </w:r>
      <w:proofErr w:type="spellStart"/>
      <w:r>
        <w:t>Πρόσφυγες</w:t>
      </w:r>
      <w:proofErr w:type="spellEnd"/>
    </w:p>
    <w:p w14:paraId="5AE263EA" w14:textId="77777777" w:rsidR="00E63D5B" w:rsidRPr="00132066" w:rsidRDefault="001F059D">
      <w:pPr>
        <w:rPr>
          <w:lang w:val="el-GR"/>
        </w:rPr>
      </w:pPr>
      <w:r>
        <w:rPr>
          <w:b/>
          <w:bCs/>
        </w:rPr>
        <w:t>UNICEF</w:t>
      </w:r>
      <w:r>
        <w:rPr>
          <w:b/>
          <w:bCs/>
          <w:lang w:val="el-GR"/>
        </w:rPr>
        <w:t>:</w:t>
      </w:r>
      <w:r>
        <w:rPr>
          <w:lang w:val="el-GR"/>
        </w:rPr>
        <w:t xml:space="preserve"> </w:t>
      </w:r>
      <w:r>
        <w:t>United</w:t>
      </w:r>
      <w:r>
        <w:rPr>
          <w:lang w:val="el-GR"/>
        </w:rPr>
        <w:t xml:space="preserve"> </w:t>
      </w:r>
      <w:r>
        <w:t>Nations</w:t>
      </w:r>
      <w:r>
        <w:rPr>
          <w:lang w:val="el-GR"/>
        </w:rPr>
        <w:t xml:space="preserve"> </w:t>
      </w:r>
      <w:r>
        <w:t>Children</w:t>
      </w:r>
      <w:r>
        <w:rPr>
          <w:lang w:val="el-GR"/>
        </w:rPr>
        <w:t>’</w:t>
      </w:r>
      <w:r>
        <w:t>s</w:t>
      </w:r>
      <w:r>
        <w:rPr>
          <w:lang w:val="el-GR"/>
        </w:rPr>
        <w:t xml:space="preserve"> </w:t>
      </w:r>
      <w:r>
        <w:t>Fund</w:t>
      </w:r>
      <w:r>
        <w:rPr>
          <w:lang w:val="el-GR"/>
        </w:rPr>
        <w:t xml:space="preserve"> — Ταμείο των Ηνωμένων Εθνών για τα Παιδιά</w:t>
      </w:r>
    </w:p>
    <w:p w14:paraId="3A1FF6C1" w14:textId="77777777" w:rsidR="00E63D5B" w:rsidRPr="00132066" w:rsidRDefault="001F059D">
      <w:pPr>
        <w:rPr>
          <w:lang w:val="el-GR"/>
        </w:rPr>
      </w:pPr>
      <w:r>
        <w:rPr>
          <w:b/>
          <w:bCs/>
        </w:rPr>
        <w:t>UNODC</w:t>
      </w:r>
      <w:r>
        <w:rPr>
          <w:b/>
          <w:bCs/>
          <w:lang w:val="el-GR"/>
        </w:rPr>
        <w:t>:</w:t>
      </w:r>
      <w:r>
        <w:rPr>
          <w:lang w:val="el-GR"/>
        </w:rPr>
        <w:t xml:space="preserve"> </w:t>
      </w:r>
      <w:r>
        <w:t>United</w:t>
      </w:r>
      <w:r>
        <w:rPr>
          <w:lang w:val="el-GR"/>
        </w:rPr>
        <w:t xml:space="preserve"> </w:t>
      </w:r>
      <w:r>
        <w:t>Nations</w:t>
      </w:r>
      <w:r>
        <w:rPr>
          <w:lang w:val="el-GR"/>
        </w:rPr>
        <w:t xml:space="preserve"> </w:t>
      </w:r>
      <w:r>
        <w:t>Office</w:t>
      </w:r>
      <w:r>
        <w:rPr>
          <w:lang w:val="el-GR"/>
        </w:rPr>
        <w:t xml:space="preserve"> </w:t>
      </w:r>
      <w:r>
        <w:t>on</w:t>
      </w:r>
      <w:r>
        <w:rPr>
          <w:lang w:val="el-GR"/>
        </w:rPr>
        <w:t xml:space="preserve"> </w:t>
      </w:r>
      <w:r>
        <w:t>Drugs</w:t>
      </w:r>
      <w:r>
        <w:rPr>
          <w:lang w:val="el-GR"/>
        </w:rPr>
        <w:t xml:space="preserve"> </w:t>
      </w:r>
      <w:r>
        <w:t>and</w:t>
      </w:r>
      <w:r>
        <w:rPr>
          <w:lang w:val="el-GR"/>
        </w:rPr>
        <w:t xml:space="preserve"> </w:t>
      </w:r>
      <w:r>
        <w:t>Crime</w:t>
      </w:r>
      <w:r>
        <w:rPr>
          <w:lang w:val="el-GR"/>
        </w:rPr>
        <w:t xml:space="preserve"> — Γραφείο των Ηνωμένων Εθνών για τα Ναρκωτικά και το Έγκλημα</w:t>
      </w:r>
    </w:p>
    <w:p w14:paraId="774A0F6B" w14:textId="74C3BFB7" w:rsidR="00E63D5B" w:rsidRPr="00FC1B89" w:rsidRDefault="001F059D">
      <w:pPr>
        <w:rPr>
          <w:lang w:val="el-GR"/>
        </w:rPr>
      </w:pPr>
      <w:r>
        <w:rPr>
          <w:b/>
          <w:bCs/>
        </w:rPr>
        <w:t>WHO</w:t>
      </w:r>
      <w:r w:rsidRPr="005A13CF">
        <w:rPr>
          <w:b/>
          <w:bCs/>
          <w:lang w:val="el-GR"/>
        </w:rPr>
        <w:t>:</w:t>
      </w:r>
      <w:r w:rsidRPr="005A13CF">
        <w:rPr>
          <w:lang w:val="el-GR"/>
        </w:rPr>
        <w:t xml:space="preserve"> </w:t>
      </w:r>
      <w:r>
        <w:t>World</w:t>
      </w:r>
      <w:r w:rsidRPr="005A13CF">
        <w:rPr>
          <w:lang w:val="el-GR"/>
        </w:rPr>
        <w:t xml:space="preserve"> </w:t>
      </w:r>
      <w:r>
        <w:t>Health</w:t>
      </w:r>
      <w:r w:rsidRPr="005A13CF">
        <w:rPr>
          <w:lang w:val="el-GR"/>
        </w:rPr>
        <w:t xml:space="preserve"> </w:t>
      </w:r>
      <w:r>
        <w:t>Organization</w:t>
      </w:r>
      <w:r w:rsidRPr="005A13CF">
        <w:rPr>
          <w:lang w:val="el-GR"/>
        </w:rPr>
        <w:t xml:space="preserve"> — Παγκόσμιος Οργανισμός Υγείας</w:t>
      </w:r>
      <w:r w:rsidR="00FC1B89" w:rsidRPr="005A13CF">
        <w:rPr>
          <w:lang w:val="el-GR"/>
        </w:rPr>
        <w:t xml:space="preserve"> (</w:t>
      </w:r>
      <w:r w:rsidR="00FC1B89">
        <w:rPr>
          <w:lang w:val="el-GR"/>
        </w:rPr>
        <w:t>ΠΟΥ)</w:t>
      </w:r>
    </w:p>
    <w:p w14:paraId="6F3E7CBF" w14:textId="77777777" w:rsidR="00E63D5B" w:rsidRPr="005A13CF" w:rsidRDefault="001F059D">
      <w:pPr>
        <w:rPr>
          <w:lang w:val="el-GR"/>
        </w:rPr>
      </w:pPr>
      <w:r>
        <w:rPr>
          <w:b/>
          <w:bCs/>
        </w:rPr>
        <w:t>WHOQOL</w:t>
      </w:r>
      <w:r w:rsidRPr="005A13CF">
        <w:rPr>
          <w:b/>
          <w:bCs/>
          <w:lang w:val="el-GR"/>
        </w:rPr>
        <w:t>-</w:t>
      </w:r>
      <w:r>
        <w:rPr>
          <w:b/>
          <w:bCs/>
        </w:rPr>
        <w:t>BREF</w:t>
      </w:r>
      <w:r w:rsidRPr="005A13CF">
        <w:rPr>
          <w:b/>
          <w:bCs/>
          <w:lang w:val="el-GR"/>
        </w:rPr>
        <w:t>:</w:t>
      </w:r>
      <w:r w:rsidRPr="005A13CF">
        <w:rPr>
          <w:lang w:val="el-GR"/>
        </w:rPr>
        <w:t xml:space="preserve"> </w:t>
      </w:r>
      <w:r>
        <w:t>World</w:t>
      </w:r>
      <w:r w:rsidRPr="005A13CF">
        <w:rPr>
          <w:lang w:val="el-GR"/>
        </w:rPr>
        <w:t xml:space="preserve"> </w:t>
      </w:r>
      <w:r>
        <w:t>Health</w:t>
      </w:r>
      <w:r w:rsidRPr="005A13CF">
        <w:rPr>
          <w:lang w:val="el-GR"/>
        </w:rPr>
        <w:t xml:space="preserve"> </w:t>
      </w:r>
      <w:r>
        <w:t>Organization</w:t>
      </w:r>
      <w:r w:rsidRPr="005A13CF">
        <w:rPr>
          <w:lang w:val="el-GR"/>
        </w:rPr>
        <w:t xml:space="preserve"> </w:t>
      </w:r>
      <w:r>
        <w:t>Quality</w:t>
      </w:r>
      <w:r w:rsidRPr="005A13CF">
        <w:rPr>
          <w:lang w:val="el-GR"/>
        </w:rPr>
        <w:t xml:space="preserve"> </w:t>
      </w:r>
      <w:r>
        <w:t>of</w:t>
      </w:r>
      <w:r w:rsidRPr="005A13CF">
        <w:rPr>
          <w:lang w:val="el-GR"/>
        </w:rPr>
        <w:t xml:space="preserve"> </w:t>
      </w:r>
      <w:r>
        <w:t>Life</w:t>
      </w:r>
      <w:r w:rsidRPr="005A13CF">
        <w:rPr>
          <w:lang w:val="el-GR"/>
        </w:rPr>
        <w:t>–</w:t>
      </w:r>
      <w:r>
        <w:t>BREF</w:t>
      </w:r>
      <w:r w:rsidRPr="005A13CF">
        <w:rPr>
          <w:lang w:val="el-GR"/>
        </w:rPr>
        <w:t xml:space="preserve"> — Σύντομο Ερωτηματολόγιο Ποιότητας Ζωής του ΠΟΥ</w:t>
      </w:r>
    </w:p>
    <w:p w14:paraId="4B449569" w14:textId="77777777" w:rsidR="00E63D5B" w:rsidRDefault="001F059D">
      <w:r>
        <w:rPr>
          <w:b/>
          <w:bCs/>
        </w:rPr>
        <w:t>WWP EN:</w:t>
      </w:r>
      <w:r>
        <w:t xml:space="preserve"> European Network for the Work with Perpetrators — </w:t>
      </w:r>
      <w:proofErr w:type="spellStart"/>
      <w:r>
        <w:t>Ευρω</w:t>
      </w:r>
      <w:proofErr w:type="spellEnd"/>
      <w:r>
        <w:t xml:space="preserve">παϊκό </w:t>
      </w:r>
      <w:proofErr w:type="spellStart"/>
      <w:r>
        <w:t>Δίκτυο</w:t>
      </w:r>
      <w:proofErr w:type="spellEnd"/>
      <w:r>
        <w:t xml:space="preserve"> </w:t>
      </w:r>
      <w:proofErr w:type="spellStart"/>
      <w:r>
        <w:t>γι</w:t>
      </w:r>
      <w:proofErr w:type="spellEnd"/>
      <w:r>
        <w:t xml:space="preserve">α </w:t>
      </w:r>
      <w:proofErr w:type="spellStart"/>
      <w:r>
        <w:t>την</w:t>
      </w:r>
      <w:proofErr w:type="spellEnd"/>
      <w:r>
        <w:t xml:space="preserve"> </w:t>
      </w:r>
      <w:proofErr w:type="spellStart"/>
      <w:r>
        <w:t>Εργ</w:t>
      </w:r>
      <w:proofErr w:type="spellEnd"/>
      <w:r>
        <w:t xml:space="preserve">ασία </w:t>
      </w:r>
      <w:proofErr w:type="spellStart"/>
      <w:r>
        <w:t>με</w:t>
      </w:r>
      <w:proofErr w:type="spellEnd"/>
      <w:r>
        <w:t xml:space="preserve"> </w:t>
      </w:r>
      <w:proofErr w:type="spellStart"/>
      <w:r>
        <w:t>Δράστες</w:t>
      </w:r>
      <w:proofErr w:type="spellEnd"/>
    </w:p>
    <w:p w14:paraId="2124B7E3" w14:textId="77777777" w:rsidR="00E63D5B" w:rsidRPr="00132066" w:rsidRDefault="001F059D">
      <w:pPr>
        <w:rPr>
          <w:lang w:val="el-GR"/>
        </w:rPr>
      </w:pPr>
      <w:r>
        <w:rPr>
          <w:b/>
          <w:bCs/>
          <w:lang w:val="el-GR"/>
        </w:rPr>
        <w:t>ΓΓΙΑΔ:</w:t>
      </w:r>
      <w:r>
        <w:rPr>
          <w:lang w:val="el-GR"/>
        </w:rPr>
        <w:t xml:space="preserve"> Γενική Γραμματεία Ισότητας και Ανθρωπίνων Δικαιωμάτων</w:t>
      </w:r>
    </w:p>
    <w:p w14:paraId="18AF31AB" w14:textId="77777777" w:rsidR="00E63D5B" w:rsidRPr="00132066" w:rsidRDefault="001F059D">
      <w:pPr>
        <w:rPr>
          <w:lang w:val="el-GR"/>
        </w:rPr>
      </w:pPr>
      <w:r>
        <w:rPr>
          <w:b/>
          <w:bCs/>
          <w:lang w:val="el-GR"/>
        </w:rPr>
        <w:t>ΓΓΟΠΙΦ:</w:t>
      </w:r>
      <w:r>
        <w:rPr>
          <w:lang w:val="el-GR"/>
        </w:rPr>
        <w:t xml:space="preserve"> Γενική Γραμματεία Οικογενειακής Πολιτικής και Ισότητας των Φύλων</w:t>
      </w:r>
    </w:p>
    <w:p w14:paraId="14113B6D" w14:textId="77777777" w:rsidR="000956C9" w:rsidRDefault="00F56A84">
      <w:pPr>
        <w:rPr>
          <w:lang w:val="el-GR"/>
        </w:rPr>
      </w:pPr>
      <w:r>
        <w:rPr>
          <w:i/>
          <w:iCs/>
          <w:lang w:val="el-GR"/>
        </w:rPr>
        <w:t>Η ΓΓΙΑΔ και η ΓΓΟΠΙΦ είναι ο ίδιος θεσμικός φορέας υπό διαδοχικές ονομασίες. Στο κείμενο κάθε πηγή παραπέμπεται με την ονομασία που έφερε ο φορέας κατά την έκδοσή της.</w:t>
      </w:r>
    </w:p>
    <w:p w14:paraId="742170F4" w14:textId="77777777" w:rsidR="00E63D5B" w:rsidRPr="00132066" w:rsidRDefault="001F059D">
      <w:pPr>
        <w:rPr>
          <w:lang w:val="el-GR"/>
        </w:rPr>
      </w:pPr>
      <w:r>
        <w:rPr>
          <w:b/>
          <w:bCs/>
          <w:lang w:val="el-GR"/>
        </w:rPr>
        <w:t>ΓΣΘ:</w:t>
      </w:r>
      <w:r>
        <w:rPr>
          <w:lang w:val="el-GR"/>
        </w:rPr>
        <w:t xml:space="preserve"> Γνωσιακή-</w:t>
      </w:r>
      <w:proofErr w:type="spellStart"/>
      <w:r>
        <w:rPr>
          <w:lang w:val="el-GR"/>
        </w:rPr>
        <w:t>Συμπεριφορική</w:t>
      </w:r>
      <w:proofErr w:type="spellEnd"/>
      <w:r>
        <w:rPr>
          <w:lang w:val="el-GR"/>
        </w:rPr>
        <w:t xml:space="preserve"> Θεραπεία</w:t>
      </w:r>
    </w:p>
    <w:p w14:paraId="41F72EDC" w14:textId="77777777" w:rsidR="00E63D5B" w:rsidRPr="00132066" w:rsidRDefault="001F059D">
      <w:pPr>
        <w:rPr>
          <w:lang w:val="el-GR"/>
        </w:rPr>
      </w:pPr>
      <w:r>
        <w:rPr>
          <w:b/>
          <w:bCs/>
          <w:lang w:val="el-GR"/>
        </w:rPr>
        <w:t>ΔΕ:</w:t>
      </w:r>
      <w:r>
        <w:rPr>
          <w:lang w:val="el-GR"/>
        </w:rPr>
        <w:t xml:space="preserve"> Διάστημα Εμπιστοσύνης</w:t>
      </w:r>
    </w:p>
    <w:p w14:paraId="42CD8F41" w14:textId="77777777" w:rsidR="00E63D5B" w:rsidRPr="00132066" w:rsidRDefault="001F059D">
      <w:pPr>
        <w:rPr>
          <w:lang w:val="el-GR"/>
        </w:rPr>
      </w:pPr>
      <w:r>
        <w:rPr>
          <w:b/>
          <w:bCs/>
          <w:lang w:val="el-GR"/>
        </w:rPr>
        <w:t>ΔΜΤΣ:</w:t>
      </w:r>
      <w:r>
        <w:rPr>
          <w:lang w:val="el-GR"/>
        </w:rPr>
        <w:t xml:space="preserve"> Διαταραχή </w:t>
      </w:r>
      <w:proofErr w:type="spellStart"/>
      <w:r>
        <w:rPr>
          <w:lang w:val="el-GR"/>
        </w:rPr>
        <w:t>Μετατραυματικού</w:t>
      </w:r>
      <w:proofErr w:type="spellEnd"/>
      <w:r>
        <w:rPr>
          <w:lang w:val="el-GR"/>
        </w:rPr>
        <w:t xml:space="preserve"> Στρες</w:t>
      </w:r>
    </w:p>
    <w:p w14:paraId="62FD8894" w14:textId="77777777" w:rsidR="00E63D5B" w:rsidRPr="00132066" w:rsidRDefault="001F059D">
      <w:pPr>
        <w:rPr>
          <w:lang w:val="el-GR"/>
        </w:rPr>
      </w:pPr>
      <w:r>
        <w:rPr>
          <w:b/>
          <w:bCs/>
          <w:lang w:val="el-GR"/>
        </w:rPr>
        <w:t>ΕΕ:</w:t>
      </w:r>
      <w:r>
        <w:rPr>
          <w:lang w:val="el-GR"/>
        </w:rPr>
        <w:t xml:space="preserve"> Ευρωπαϊκή Ένωση</w:t>
      </w:r>
    </w:p>
    <w:p w14:paraId="336D790C" w14:textId="77777777" w:rsidR="00E63D5B" w:rsidRPr="00132066" w:rsidRDefault="001F059D">
      <w:pPr>
        <w:rPr>
          <w:lang w:val="el-GR"/>
        </w:rPr>
      </w:pPr>
      <w:r>
        <w:rPr>
          <w:b/>
          <w:bCs/>
          <w:lang w:val="el-GR"/>
        </w:rPr>
        <w:t>ΕΚΚΑ:</w:t>
      </w:r>
      <w:r>
        <w:rPr>
          <w:lang w:val="el-GR"/>
        </w:rPr>
        <w:t xml:space="preserve"> Εθνικό Κέντρο Κοινωνικής Αλληλεγγύης</w:t>
      </w:r>
    </w:p>
    <w:p w14:paraId="09C98EB0" w14:textId="77777777" w:rsidR="00E63D5B" w:rsidRPr="00132066" w:rsidRDefault="001F059D">
      <w:pPr>
        <w:rPr>
          <w:lang w:val="el-GR"/>
        </w:rPr>
      </w:pPr>
      <w:r>
        <w:rPr>
          <w:b/>
          <w:bCs/>
          <w:lang w:val="el-GR"/>
        </w:rPr>
        <w:t>ΕΚΚΕ:</w:t>
      </w:r>
      <w:r>
        <w:rPr>
          <w:lang w:val="el-GR"/>
        </w:rPr>
        <w:t xml:space="preserve"> Εθνικό Κέντρο Κοινωνικών Ερευνών</w:t>
      </w:r>
    </w:p>
    <w:p w14:paraId="1473BACD" w14:textId="46A0C64C" w:rsidR="00E63D5B" w:rsidRPr="00132066" w:rsidRDefault="001F059D">
      <w:pPr>
        <w:rPr>
          <w:lang w:val="el-GR"/>
        </w:rPr>
      </w:pPr>
      <w:r>
        <w:rPr>
          <w:b/>
          <w:bCs/>
          <w:lang w:val="el-GR"/>
        </w:rPr>
        <w:t>ΕΛΑΣ:</w:t>
      </w:r>
      <w:r>
        <w:rPr>
          <w:lang w:val="el-GR"/>
        </w:rPr>
        <w:t xml:space="preserve"> Ελληνική Αστυνομία</w:t>
      </w:r>
    </w:p>
    <w:p w14:paraId="36D1FB2D" w14:textId="77777777" w:rsidR="00E63D5B" w:rsidRPr="00132066" w:rsidRDefault="001F059D">
      <w:pPr>
        <w:rPr>
          <w:lang w:val="el-GR"/>
        </w:rPr>
      </w:pPr>
      <w:r>
        <w:rPr>
          <w:b/>
          <w:bCs/>
          <w:lang w:val="el-GR"/>
        </w:rPr>
        <w:t>ΙΕΚ:</w:t>
      </w:r>
      <w:r>
        <w:rPr>
          <w:lang w:val="el-GR"/>
        </w:rPr>
        <w:t xml:space="preserve"> Ινστιτούτο Επαγγελματικής Κατάρτισης</w:t>
      </w:r>
    </w:p>
    <w:p w14:paraId="309DC9BC" w14:textId="77777777" w:rsidR="00E63D5B" w:rsidRPr="00132066" w:rsidRDefault="001F059D">
      <w:pPr>
        <w:rPr>
          <w:lang w:val="el-GR"/>
        </w:rPr>
      </w:pPr>
      <w:r>
        <w:rPr>
          <w:b/>
          <w:bCs/>
          <w:lang w:val="el-GR"/>
        </w:rPr>
        <w:t>ΚΕΔΑΣΥ:</w:t>
      </w:r>
      <w:r>
        <w:rPr>
          <w:lang w:val="el-GR"/>
        </w:rPr>
        <w:t xml:space="preserve"> Κέντρο Διεπιστημονικής Αξιολόγησης, Συμβουλευτικής και Υποστήριξης</w:t>
      </w:r>
    </w:p>
    <w:p w14:paraId="305109B7" w14:textId="77777777" w:rsidR="00E63D5B" w:rsidRPr="00132066" w:rsidRDefault="001F059D">
      <w:pPr>
        <w:rPr>
          <w:lang w:val="el-GR"/>
        </w:rPr>
      </w:pPr>
      <w:r>
        <w:rPr>
          <w:b/>
          <w:bCs/>
          <w:lang w:val="el-GR"/>
        </w:rPr>
        <w:t>ΚΕΘΙ:</w:t>
      </w:r>
      <w:r>
        <w:rPr>
          <w:lang w:val="el-GR"/>
        </w:rPr>
        <w:t xml:space="preserve"> Κέντρο Ερευνών για Θέματα Ισότητας</w:t>
      </w:r>
    </w:p>
    <w:p w14:paraId="2FEE71D8" w14:textId="77777777" w:rsidR="00E63D5B" w:rsidRPr="00132066" w:rsidRDefault="001F059D">
      <w:pPr>
        <w:rPr>
          <w:lang w:val="el-GR"/>
        </w:rPr>
      </w:pPr>
      <w:r>
        <w:rPr>
          <w:b/>
          <w:bCs/>
          <w:lang w:val="el-GR"/>
        </w:rPr>
        <w:t>ΚΕΜΕΑ:</w:t>
      </w:r>
      <w:r>
        <w:rPr>
          <w:lang w:val="el-GR"/>
        </w:rPr>
        <w:t xml:space="preserve"> Κέντρο Μελετών Ασφάλειας</w:t>
      </w:r>
    </w:p>
    <w:p w14:paraId="6992466E" w14:textId="77777777" w:rsidR="00E63D5B" w:rsidRPr="00132066" w:rsidRDefault="001F059D">
      <w:pPr>
        <w:rPr>
          <w:lang w:val="el-GR"/>
        </w:rPr>
      </w:pPr>
      <w:r>
        <w:rPr>
          <w:b/>
          <w:bCs/>
          <w:lang w:val="el-GR"/>
        </w:rPr>
        <w:lastRenderedPageBreak/>
        <w:t>ΛΟΑΤΚΙΑ+:</w:t>
      </w:r>
      <w:r>
        <w:rPr>
          <w:lang w:val="el-GR"/>
        </w:rPr>
        <w:t xml:space="preserve"> Λεσβίες, ομοφυλόφιλοι, αμφιφυλόφιλοι, </w:t>
      </w:r>
      <w:proofErr w:type="spellStart"/>
      <w:r>
        <w:rPr>
          <w:lang w:val="el-GR"/>
        </w:rPr>
        <w:t>τρανς</w:t>
      </w:r>
      <w:proofErr w:type="spellEnd"/>
      <w:r>
        <w:rPr>
          <w:lang w:val="el-GR"/>
        </w:rPr>
        <w:t xml:space="preserve">, </w:t>
      </w:r>
      <w:proofErr w:type="spellStart"/>
      <w:r>
        <w:rPr>
          <w:lang w:val="el-GR"/>
        </w:rPr>
        <w:t>κουίρ</w:t>
      </w:r>
      <w:proofErr w:type="spellEnd"/>
      <w:r>
        <w:rPr>
          <w:lang w:val="el-GR"/>
        </w:rPr>
        <w:t>/</w:t>
      </w:r>
      <w:r>
        <w:t>questioning</w:t>
      </w:r>
      <w:r>
        <w:rPr>
          <w:lang w:val="el-GR"/>
        </w:rPr>
        <w:t xml:space="preserve">, </w:t>
      </w:r>
      <w:proofErr w:type="spellStart"/>
      <w:r>
        <w:rPr>
          <w:lang w:val="el-GR"/>
        </w:rPr>
        <w:t>ίντερσεξ</w:t>
      </w:r>
      <w:proofErr w:type="spellEnd"/>
      <w:r>
        <w:rPr>
          <w:lang w:val="el-GR"/>
        </w:rPr>
        <w:t xml:space="preserve"> και </w:t>
      </w:r>
      <w:proofErr w:type="spellStart"/>
      <w:r>
        <w:rPr>
          <w:lang w:val="el-GR"/>
        </w:rPr>
        <w:t>ασεξουαλικά</w:t>
      </w:r>
      <w:proofErr w:type="spellEnd"/>
      <w:r>
        <w:rPr>
          <w:lang w:val="el-GR"/>
        </w:rPr>
        <w:t xml:space="preserve"> άτομα, καθώς και λοιπές ταυτότητες φύλου και σεξουαλικού προσανατολισμού</w:t>
      </w:r>
    </w:p>
    <w:p w14:paraId="2BA4D76F" w14:textId="77777777" w:rsidR="000956C9" w:rsidRDefault="00F56A84">
      <w:pPr>
        <w:rPr>
          <w:lang w:val="el-GR"/>
        </w:rPr>
      </w:pPr>
      <w:r>
        <w:rPr>
          <w:b/>
          <w:bCs/>
          <w:lang w:val="el-GR"/>
        </w:rPr>
        <w:t>ΜΚΟ:</w:t>
      </w:r>
      <w:r>
        <w:rPr>
          <w:lang w:val="el-GR"/>
        </w:rPr>
        <w:t xml:space="preserve"> Μη Κυβερνητική Οργάνωση</w:t>
      </w:r>
    </w:p>
    <w:p w14:paraId="6DE97F42" w14:textId="77777777" w:rsidR="00E63D5B" w:rsidRPr="00132066" w:rsidRDefault="001F059D">
      <w:pPr>
        <w:pStyle w:val="1"/>
        <w:pageBreakBefore/>
        <w:rPr>
          <w:lang w:val="el-GR"/>
        </w:rPr>
      </w:pPr>
      <w:bookmarkStart w:id="2" w:name="_Toc242134407"/>
      <w:r>
        <w:rPr>
          <w:lang w:val="el-GR"/>
        </w:rPr>
        <w:lastRenderedPageBreak/>
        <w:t>1. Ταυτότητα της Έρευνας</w:t>
      </w:r>
      <w:bookmarkEnd w:id="2"/>
    </w:p>
    <w:p w14:paraId="31C40130" w14:textId="77777777" w:rsidR="00E63D5B" w:rsidRPr="00132066" w:rsidRDefault="001F059D">
      <w:pPr>
        <w:pStyle w:val="20"/>
        <w:rPr>
          <w:lang w:val="el-GR"/>
        </w:rPr>
      </w:pPr>
      <w:bookmarkStart w:id="3" w:name="_Toc242134408"/>
      <w:r>
        <w:rPr>
          <w:lang w:val="el-GR"/>
        </w:rPr>
        <w:t>1.1 Το ερευνητικό έργο</w:t>
      </w:r>
      <w:bookmarkEnd w:id="3"/>
    </w:p>
    <w:p w14:paraId="476E4BCE" w14:textId="126F0F0A" w:rsidR="00E63D5B" w:rsidRPr="00132066" w:rsidRDefault="001F059D">
      <w:pPr>
        <w:rPr>
          <w:lang w:val="el-GR"/>
        </w:rPr>
      </w:pPr>
      <w:r>
        <w:rPr>
          <w:lang w:val="el-GR"/>
        </w:rPr>
        <w:t xml:space="preserve">Η έρευνα με τίτλο «Ανίχνευση του τραύματος της ενδοοικογενειακής βίας στις γυναίκες και στα παιδιά τους, ποιότητα ζωής και </w:t>
      </w:r>
      <w:proofErr w:type="spellStart"/>
      <w:r>
        <w:rPr>
          <w:lang w:val="el-GR"/>
        </w:rPr>
        <w:t>μετατραυματική</w:t>
      </w:r>
      <w:proofErr w:type="spellEnd"/>
      <w:r>
        <w:rPr>
          <w:lang w:val="el-GR"/>
        </w:rPr>
        <w:t xml:space="preserve"> ανάπτυξη: Καταγραφή, αξιολόγηση και προτάσεις παρέμβασης» εκπονήθηκε από ερευνητική ομάδα του Τμήματος Ψυχολογίας του Εθνικού και Καποδιστριακού Πανεπιστημίου Αθηνών, με επιστημονική υπεύθυνη την Ντόνα </w:t>
      </w:r>
      <w:proofErr w:type="spellStart"/>
      <w:r>
        <w:rPr>
          <w:lang w:val="el-GR"/>
        </w:rPr>
        <w:t>Παπαστυλιανού</w:t>
      </w:r>
      <w:proofErr w:type="spellEnd"/>
      <w:r>
        <w:rPr>
          <w:lang w:val="el-GR"/>
        </w:rPr>
        <w:t xml:space="preserve"> και μέλη τις/τους Ελένη </w:t>
      </w:r>
      <w:proofErr w:type="spellStart"/>
      <w:r>
        <w:rPr>
          <w:lang w:val="el-GR"/>
        </w:rPr>
        <w:t>Βούσουρα</w:t>
      </w:r>
      <w:proofErr w:type="spellEnd"/>
      <w:r>
        <w:rPr>
          <w:lang w:val="el-GR"/>
        </w:rPr>
        <w:t xml:space="preserve">, Βασιλική Ευσταθίου, Βασιλεία Ζέρβα, Νίκο </w:t>
      </w:r>
      <w:proofErr w:type="spellStart"/>
      <w:r>
        <w:rPr>
          <w:lang w:val="el-GR"/>
        </w:rPr>
        <w:t>Παγγό</w:t>
      </w:r>
      <w:proofErr w:type="spellEnd"/>
      <w:r>
        <w:rPr>
          <w:lang w:val="el-GR"/>
        </w:rPr>
        <w:t xml:space="preserve"> και Γρηγόρη </w:t>
      </w:r>
      <w:proofErr w:type="spellStart"/>
      <w:r>
        <w:rPr>
          <w:lang w:val="el-GR"/>
        </w:rPr>
        <w:t>Μπεκατώρο</w:t>
      </w:r>
      <w:proofErr w:type="spellEnd"/>
      <w:r>
        <w:rPr>
          <w:lang w:val="el-GR"/>
        </w:rPr>
        <w:t xml:space="preserve">. Η έρευνα πραγματοποιήθηκε για λογαριασμό του Κέντρου Ερευνών για Θέματα Ισότητας (ΚΕΘΙ), κατά το διάστημα Μαΐου 2025–Ιουνίου 2026, και εντάσσεται στη σειρά ερευνητικών πρωτοβουλιών του ΚΕΘΙ για τη συστηματική καταγραφή της ενδοοικογενειακής βίας και την αποτίμηση της λειτουργίας των δομών του Δικτύου της </w:t>
      </w:r>
      <w:r w:rsidR="00EF2365">
        <w:rPr>
          <w:lang w:val="el-GR"/>
        </w:rPr>
        <w:t>Γενικής Γραμματείας Ισότητας και Ανθρωπίνων Δικαιωμάτων (</w:t>
      </w:r>
      <w:r>
        <w:rPr>
          <w:lang w:val="el-GR"/>
        </w:rPr>
        <w:t>ΓΓΙΑΔ</w:t>
      </w:r>
      <w:r w:rsidR="00EF2365">
        <w:rPr>
          <w:lang w:val="el-GR"/>
        </w:rPr>
        <w:t>)</w:t>
      </w:r>
      <w:r>
        <w:rPr>
          <w:lang w:val="el-GR"/>
        </w:rPr>
        <w:t xml:space="preserve"> για την πρόληψη και την καταπολέμηση της έμφυλης βίας κατά των γυναικών, τις οποίες εποπτεύει επιστημονικά και συντονίζει.</w:t>
      </w:r>
    </w:p>
    <w:p w14:paraId="6D5EEE9B" w14:textId="77777777" w:rsidR="00E63D5B" w:rsidRPr="00132066" w:rsidRDefault="001F059D">
      <w:pPr>
        <w:rPr>
          <w:lang w:val="el-GR"/>
        </w:rPr>
      </w:pPr>
      <w:r>
        <w:rPr>
          <w:lang w:val="el-GR"/>
        </w:rPr>
        <w:t xml:space="preserve">Για την πληρέστερη διερεύνηση του φαινομένου υιοθετήθηκε μεικτός, συγκλίνων παράλληλος ερευνητικός σχεδιασμός, ο οποίος συνδύασε ποσοτική έρευνα μέσω ερωτηματολογίων με ποιοτική έρευνα μέσω </w:t>
      </w:r>
      <w:proofErr w:type="spellStart"/>
      <w:r>
        <w:rPr>
          <w:lang w:val="el-GR"/>
        </w:rPr>
        <w:t>ημιδομημένων</w:t>
      </w:r>
      <w:proofErr w:type="spellEnd"/>
      <w:r>
        <w:rPr>
          <w:lang w:val="el-GR"/>
        </w:rPr>
        <w:t xml:space="preserve"> συνεντεύξεων. Στο ποσοτικό σκέλος συμμετείχαν 221 γυναίκες επιζώσες ενδοοικογενειακής βίας, οι οποίες λάμβαναν υποστήριξη από σχετικές δομές σε όλη την Ελλάδα. Μέσω των αναφορών των μητέρων συγκεντρώθηκαν επίσης δεδομένα για 137 παιδιά, ενώ 25 έφηβοι και έφηβες ηλικίας 11–17 ετών συμπλήρωσαν ειδικά διαμορφωμένα ερωτηματολόγια. Στο ποιοτικό σκέλος συμμετείχαν 16 γυναίκες επιζώσες, εκ των οποίων 14 ήταν Ελληνίδες και δύο μετανάστριες.</w:t>
      </w:r>
    </w:p>
    <w:p w14:paraId="6DF4A92A" w14:textId="77777777" w:rsidR="00E63D5B" w:rsidRPr="00132066" w:rsidRDefault="001F059D">
      <w:pPr>
        <w:rPr>
          <w:lang w:val="el-GR"/>
        </w:rPr>
      </w:pPr>
      <w:r>
        <w:rPr>
          <w:lang w:val="el-GR"/>
        </w:rPr>
        <w:t>Η συλλογή των δεδομένων πραγματοποιήθηκε σε συνεργασία με τα 14 Συμβουλευτικά Κέντρα του ΚΕΘΙ, τους Ξενώνες Φιλοξενίας των Δήμων και του Εθνικού Κέντρου Κοινωνικής Αλληλεγγύης (ΕΚΚΑ), καθώς και με άλλες δομές υποστήριξης κακοποιημένων γυναικών σε όλη την Ελλάδα. Οι επαγγελματίες των δομών ενημέρωσαν τις γυναίκες για τον σκοπό και τη διαδικασία της έρευνας και διευκόλυναν τη συμμετοχή τους, ενώ οι συνεντεύξεις του ποιοτικού σκέλους πραγματοποιήθηκαν στα κεντρικά γραφεία του ΚΕΘΙ.</w:t>
      </w:r>
    </w:p>
    <w:p w14:paraId="5E0AB002" w14:textId="77777777" w:rsidR="00E63D5B" w:rsidRPr="00132066" w:rsidRDefault="001F059D">
      <w:pPr>
        <w:rPr>
          <w:lang w:val="el-GR"/>
        </w:rPr>
      </w:pPr>
      <w:r>
        <w:rPr>
          <w:lang w:val="el-GR"/>
        </w:rPr>
        <w:t>Η έρευνα έλαβε έγκριση από την αρμόδια Επιτροπή Ερευνητικής Δεοντολογίας του Τμήματος Ψυχολογίας του Εθνικού και Καποδιστριακού Πανεπιστημίου Αθηνών και διεξήχθη σύμφωνα με τις αρχές της ενημερωμένης συγκατάθεσης, της ανωνυμίας και της εμπιστευτικότητας. Για τη συμμετοχή των ανηλίκων εξασφαλίστηκαν τόσο η γονική συναίνεση όσο και η σύμφωνη γνώμη των ίδιων, ενώ όλες και όλοι οι συμμετέχουσες/</w:t>
      </w:r>
      <w:proofErr w:type="spellStart"/>
      <w:r>
        <w:rPr>
          <w:lang w:val="el-GR"/>
        </w:rPr>
        <w:t>οντες</w:t>
      </w:r>
      <w:proofErr w:type="spellEnd"/>
      <w:r>
        <w:rPr>
          <w:lang w:val="el-GR"/>
        </w:rPr>
        <w:t xml:space="preserve"> είχαν τη δυνατότητα να διακόψουν τη συμμετοχή τους οποιαδήποτε στιγμή χωρίς καμία συνέπεια.</w:t>
      </w:r>
    </w:p>
    <w:p w14:paraId="5B0F3163" w14:textId="77777777" w:rsidR="00E63D5B" w:rsidRPr="00132066" w:rsidRDefault="001F059D">
      <w:pPr>
        <w:pStyle w:val="20"/>
        <w:rPr>
          <w:lang w:val="el-GR"/>
        </w:rPr>
      </w:pPr>
      <w:bookmarkStart w:id="4" w:name="_Toc242134409"/>
      <w:r>
        <w:rPr>
          <w:lang w:val="el-GR"/>
        </w:rPr>
        <w:t>1.2 Η αναγκαιότητα της έρευνας</w:t>
      </w:r>
      <w:bookmarkEnd w:id="4"/>
    </w:p>
    <w:p w14:paraId="70E69C0C" w14:textId="77777777" w:rsidR="00E63D5B" w:rsidRPr="00132066" w:rsidRDefault="001F059D">
      <w:pPr>
        <w:rPr>
          <w:lang w:val="el-GR"/>
        </w:rPr>
      </w:pPr>
      <w:r>
        <w:rPr>
          <w:lang w:val="el-GR"/>
        </w:rPr>
        <w:t>Η ενδοοικογενειακή βία αποτελεί επίμονο και πολυδιάστατο κοινωνικό φαινόμενο, παραβίαση θεμελιωδών ανθρωπίνων δικαιωμάτων και μείζον πρόβλημα δημόσιας υγείας (</w:t>
      </w:r>
      <w:r>
        <w:t>World</w:t>
      </w:r>
      <w:r>
        <w:rPr>
          <w:lang w:val="el-GR"/>
        </w:rPr>
        <w:t xml:space="preserve"> </w:t>
      </w:r>
      <w:r>
        <w:t>Health</w:t>
      </w:r>
      <w:r>
        <w:rPr>
          <w:lang w:val="el-GR"/>
        </w:rPr>
        <w:t xml:space="preserve"> </w:t>
      </w:r>
      <w:r>
        <w:t>Organization</w:t>
      </w:r>
      <w:r>
        <w:rPr>
          <w:lang w:val="el-GR"/>
        </w:rPr>
        <w:t xml:space="preserve"> [</w:t>
      </w:r>
      <w:r>
        <w:t>WHO</w:t>
      </w:r>
      <w:r>
        <w:rPr>
          <w:lang w:val="el-GR"/>
        </w:rPr>
        <w:t>], 2013</w:t>
      </w:r>
      <w:r>
        <w:t>a</w:t>
      </w:r>
      <w:r>
        <w:rPr>
          <w:lang w:val="el-GR"/>
        </w:rPr>
        <w:t>, 2024). Ο όρος καλύπτει ένα ευρύ φάσμα βίαιων συμπεριφορών μέσα στο οικογενειακό ή οικιακό πλαίσιο, ενώ ο όρος «συντροφική βία» αναφέρεται ειδικά στη βία από νυν ή πρώην σύντροφο (</w:t>
      </w:r>
      <w:r>
        <w:t>Council</w:t>
      </w:r>
      <w:r>
        <w:rPr>
          <w:lang w:val="el-GR"/>
        </w:rPr>
        <w:t xml:space="preserve"> </w:t>
      </w:r>
      <w:r>
        <w:t>of</w:t>
      </w:r>
      <w:r>
        <w:rPr>
          <w:lang w:val="el-GR"/>
        </w:rPr>
        <w:t xml:space="preserve"> </w:t>
      </w:r>
      <w:r>
        <w:t>Europe</w:t>
      </w:r>
      <w:r>
        <w:rPr>
          <w:lang w:val="el-GR"/>
        </w:rPr>
        <w:t xml:space="preserve">, 2011· </w:t>
      </w:r>
      <w:r>
        <w:t>WHO</w:t>
      </w:r>
      <w:r>
        <w:rPr>
          <w:lang w:val="el-GR"/>
        </w:rPr>
        <w:t xml:space="preserve">, 2012). Η βία δεν περιορίζεται στη σωματική ή τη σεξουαλική επίθεση. Περιλαμβάνει ψυχολογική κακοποίηση, απειλές, οικονομικό έλεγχο, κοινωνική απομόνωση, επίμονη παρακολούθηση και πρακτικές ελέγχου με τη χρήση τεχνολογίας. Η σύγχρονη βιβλιογραφία την περιγράφει συχνά ως καθεστώς «εξαναγκαστικού ελέγχου», δηλαδή ως </w:t>
      </w:r>
      <w:r>
        <w:rPr>
          <w:lang w:val="el-GR"/>
        </w:rPr>
        <w:lastRenderedPageBreak/>
        <w:t>ένα επαναλαμβανόμενο σύστημα κυριαρχίας που περιορίζει την αυτονομία, τις επιλογές και την καθημερινή ζωή των γυναικών (</w:t>
      </w:r>
      <w:r>
        <w:t>Stark</w:t>
      </w:r>
      <w:r>
        <w:rPr>
          <w:lang w:val="el-GR"/>
        </w:rPr>
        <w:t>, 2007).</w:t>
      </w:r>
    </w:p>
    <w:p w14:paraId="59FD6694" w14:textId="34470103" w:rsidR="00E63D5B" w:rsidRPr="00132066" w:rsidRDefault="001F059D">
      <w:pPr>
        <w:rPr>
          <w:lang w:val="el-GR"/>
        </w:rPr>
      </w:pPr>
      <w:r>
        <w:rPr>
          <w:lang w:val="el-GR"/>
        </w:rPr>
        <w:t>Οι σοβαρές, επαναλαμβανόμενες και θανατηφόρες μορφές βίας πλήττουν δυσανάλογα τις γυναίκες. Παγκοσμίως, περίπου μία στις τρεις γυναίκες έχει βιώσει σωματική ή/και σεξουαλική βία από σύντροφο</w:t>
      </w:r>
      <w:r w:rsidR="00EF2365">
        <w:rPr>
          <w:lang w:val="el-GR"/>
        </w:rPr>
        <w:t>,</w:t>
      </w:r>
      <w:r>
        <w:rPr>
          <w:lang w:val="el-GR"/>
        </w:rPr>
        <w:t xml:space="preserve"> ή σεξουαλική βία από μη σύντροφο στη διάρκεια της ζωής της, ενώ περισσότερο από το ένα τρίτο των ανθρωποκτονιών γυναικών διαπράττεται από νυν ή πρώην σύντροφο (</w:t>
      </w:r>
      <w:r>
        <w:t>Sardinha</w:t>
      </w:r>
      <w:r>
        <w:rPr>
          <w:lang w:val="el-GR"/>
        </w:rPr>
        <w:t xml:space="preserve"> </w:t>
      </w:r>
      <w:r>
        <w:t>et</w:t>
      </w:r>
      <w:r>
        <w:rPr>
          <w:lang w:val="el-GR"/>
        </w:rPr>
        <w:t xml:space="preserve"> </w:t>
      </w:r>
      <w:r>
        <w:t>al</w:t>
      </w:r>
      <w:r>
        <w:rPr>
          <w:lang w:val="el-GR"/>
        </w:rPr>
        <w:t xml:space="preserve">., 2022 </w:t>
      </w:r>
      <w:r>
        <w:t>St</w:t>
      </w:r>
      <w:r>
        <w:rPr>
          <w:lang w:val="el-GR"/>
        </w:rPr>
        <w:t>ö</w:t>
      </w:r>
      <w:proofErr w:type="spellStart"/>
      <w:r>
        <w:t>ckl</w:t>
      </w:r>
      <w:proofErr w:type="spellEnd"/>
      <w:r>
        <w:rPr>
          <w:lang w:val="el-GR"/>
        </w:rPr>
        <w:t xml:space="preserve"> </w:t>
      </w:r>
      <w:r>
        <w:t>et</w:t>
      </w:r>
      <w:r>
        <w:rPr>
          <w:lang w:val="el-GR"/>
        </w:rPr>
        <w:t xml:space="preserve"> </w:t>
      </w:r>
      <w:r>
        <w:t>al</w:t>
      </w:r>
      <w:r>
        <w:rPr>
          <w:lang w:val="el-GR"/>
        </w:rPr>
        <w:t>., 2013·</w:t>
      </w:r>
      <w:r>
        <w:t>WHO</w:t>
      </w:r>
      <w:r>
        <w:rPr>
          <w:lang w:val="el-GR"/>
        </w:rPr>
        <w:t>, 2021). Στην Ευρωπαϊκή Ένωση</w:t>
      </w:r>
      <w:r w:rsidR="00EF2365">
        <w:rPr>
          <w:lang w:val="el-GR"/>
        </w:rPr>
        <w:t xml:space="preserve"> (ΕΕ)</w:t>
      </w:r>
      <w:r>
        <w:rPr>
          <w:lang w:val="el-GR"/>
        </w:rPr>
        <w:t xml:space="preserve">, σύμφωνα με την έρευνα </w:t>
      </w:r>
      <w:r>
        <w:t>EU</w:t>
      </w:r>
      <w:r>
        <w:rPr>
          <w:lang w:val="el-GR"/>
        </w:rPr>
        <w:t xml:space="preserve"> </w:t>
      </w:r>
      <w:r>
        <w:t>Gender</w:t>
      </w:r>
      <w:r>
        <w:rPr>
          <w:lang w:val="el-GR"/>
        </w:rPr>
        <w:t>-</w:t>
      </w:r>
      <w:r>
        <w:t>Based</w:t>
      </w:r>
      <w:r>
        <w:rPr>
          <w:lang w:val="el-GR"/>
        </w:rPr>
        <w:t xml:space="preserve"> </w:t>
      </w:r>
      <w:r>
        <w:t>Violence</w:t>
      </w:r>
      <w:r>
        <w:rPr>
          <w:lang w:val="el-GR"/>
        </w:rPr>
        <w:t xml:space="preserve"> </w:t>
      </w:r>
      <w:r>
        <w:t>Survey</w:t>
      </w:r>
      <w:r>
        <w:rPr>
          <w:lang w:val="el-GR"/>
        </w:rPr>
        <w:t xml:space="preserve"> (114.023 συνεντεύξεις σε 27 κράτη-μέλη), το 19,3% των γυναικών έχει βιώσει σωματική βία από δράστη του οικογενειακού περιβάλλοντος. Στην Ελλάδα, περίπου 18% των γυναικών ανέφεραν σωματική βία ή απειλές και 7,3% σεξουαλική βία από δράστη του οικογενειακού περιβάλλοντος, ενώ περίπου 22% είχαν βιώσει σωματική ή/και σεξουαλική συντροφική βία, έναντι 18% στην ΕΕ (</w:t>
      </w:r>
      <w:r>
        <w:t>European</w:t>
      </w:r>
      <w:r>
        <w:rPr>
          <w:lang w:val="el-GR"/>
        </w:rPr>
        <w:t xml:space="preserve"> </w:t>
      </w:r>
      <w:r>
        <w:t>Union</w:t>
      </w:r>
      <w:r>
        <w:rPr>
          <w:lang w:val="el-GR"/>
        </w:rPr>
        <w:t xml:space="preserve"> </w:t>
      </w:r>
      <w:r>
        <w:t>Agency</w:t>
      </w:r>
      <w:r>
        <w:rPr>
          <w:lang w:val="el-GR"/>
        </w:rPr>
        <w:t xml:space="preserve"> </w:t>
      </w:r>
      <w:r>
        <w:t>for</w:t>
      </w:r>
      <w:r>
        <w:rPr>
          <w:lang w:val="el-GR"/>
        </w:rPr>
        <w:t xml:space="preserve"> </w:t>
      </w:r>
      <w:r>
        <w:t>Fundamental</w:t>
      </w:r>
      <w:r>
        <w:rPr>
          <w:lang w:val="el-GR"/>
        </w:rPr>
        <w:t xml:space="preserve"> </w:t>
      </w:r>
      <w:r>
        <w:t>Rights</w:t>
      </w:r>
      <w:r>
        <w:rPr>
          <w:lang w:val="el-GR"/>
        </w:rPr>
        <w:t xml:space="preserve"> [</w:t>
      </w:r>
      <w:r>
        <w:t>FRA</w:t>
      </w:r>
      <w:r>
        <w:rPr>
          <w:lang w:val="el-GR"/>
        </w:rPr>
        <w:t xml:space="preserve">] &amp; </w:t>
      </w:r>
      <w:r>
        <w:t>European</w:t>
      </w:r>
      <w:r>
        <w:rPr>
          <w:lang w:val="el-GR"/>
        </w:rPr>
        <w:t xml:space="preserve"> </w:t>
      </w:r>
      <w:r>
        <w:t>Institute</w:t>
      </w:r>
      <w:r>
        <w:rPr>
          <w:lang w:val="el-GR"/>
        </w:rPr>
        <w:t xml:space="preserve"> </w:t>
      </w:r>
      <w:r>
        <w:t>for</w:t>
      </w:r>
      <w:r>
        <w:rPr>
          <w:lang w:val="el-GR"/>
        </w:rPr>
        <w:t xml:space="preserve"> </w:t>
      </w:r>
      <w:r>
        <w:t>Gender</w:t>
      </w:r>
      <w:r>
        <w:rPr>
          <w:lang w:val="el-GR"/>
        </w:rPr>
        <w:t xml:space="preserve"> </w:t>
      </w:r>
      <w:r>
        <w:t>Equality</w:t>
      </w:r>
      <w:r>
        <w:rPr>
          <w:lang w:val="el-GR"/>
        </w:rPr>
        <w:t xml:space="preserve"> [</w:t>
      </w:r>
      <w:r>
        <w:t>EIGE</w:t>
      </w:r>
      <w:r>
        <w:rPr>
          <w:lang w:val="el-GR"/>
        </w:rPr>
        <w:t>], 2026·</w:t>
      </w:r>
      <w:r>
        <w:t>FRA</w:t>
      </w:r>
      <w:r>
        <w:rPr>
          <w:lang w:val="el-GR"/>
        </w:rPr>
        <w:t xml:space="preserve">, </w:t>
      </w:r>
      <w:r>
        <w:t>EIGE</w:t>
      </w:r>
      <w:r>
        <w:rPr>
          <w:lang w:val="el-GR"/>
        </w:rPr>
        <w:t xml:space="preserve">, &amp; </w:t>
      </w:r>
      <w:r>
        <w:t>Eurostat</w:t>
      </w:r>
      <w:r>
        <w:rPr>
          <w:lang w:val="el-GR"/>
        </w:rPr>
        <w:t>, 2024).</w:t>
      </w:r>
    </w:p>
    <w:p w14:paraId="69551D18" w14:textId="77777777" w:rsidR="00E63D5B" w:rsidRPr="00132066" w:rsidRDefault="001F059D">
      <w:pPr>
        <w:rPr>
          <w:lang w:val="el-GR"/>
        </w:rPr>
      </w:pPr>
      <w:r>
        <w:rPr>
          <w:lang w:val="el-GR"/>
        </w:rPr>
        <w:t xml:space="preserve">Οι συνέπειες εκτείνονται στη σωματική, ψυχική, σεξουαλική και αναπαραγωγική υγεία, στις κοινωνικές σχέσεις, στην εργασία και στην ποιότητα ζωής. Η χρόνια και απρόβλεπτη έκθεση σε απειλή συνδέεται με αυξημένο κίνδυνο Διαταραχής </w:t>
      </w:r>
      <w:proofErr w:type="spellStart"/>
      <w:r>
        <w:rPr>
          <w:lang w:val="el-GR"/>
        </w:rPr>
        <w:t>Μετατραυματικού</w:t>
      </w:r>
      <w:proofErr w:type="spellEnd"/>
      <w:r>
        <w:rPr>
          <w:lang w:val="el-GR"/>
        </w:rPr>
        <w:t xml:space="preserve"> Στρες (ΔΜΤΣ), κατάθλιψης, αγχωδών διαταραχών, διαταραχών ύπνου, σωματικών συμπτωμάτων και αυτοκτονικής συμπεριφοράς (</w:t>
      </w:r>
      <w:r>
        <w:t>Campbell</w:t>
      </w:r>
      <w:r>
        <w:rPr>
          <w:lang w:val="el-GR"/>
        </w:rPr>
        <w:t>, 2002·</w:t>
      </w:r>
      <w:r>
        <w:t>Dillon</w:t>
      </w:r>
      <w:r>
        <w:rPr>
          <w:lang w:val="el-GR"/>
        </w:rPr>
        <w:t xml:space="preserve"> </w:t>
      </w:r>
      <w:r>
        <w:t>et</w:t>
      </w:r>
      <w:r>
        <w:rPr>
          <w:lang w:val="el-GR"/>
        </w:rPr>
        <w:t xml:space="preserve"> </w:t>
      </w:r>
      <w:r>
        <w:t>al</w:t>
      </w:r>
      <w:r>
        <w:rPr>
          <w:lang w:val="el-GR"/>
        </w:rPr>
        <w:t>., 2013·</w:t>
      </w:r>
      <w:r>
        <w:t>Golding</w:t>
      </w:r>
      <w:r>
        <w:rPr>
          <w:lang w:val="el-GR"/>
        </w:rPr>
        <w:t xml:space="preserve">, 1999). Επιπλέον, η αποχώρηση των γυναικών από την κακοποιητική σχέση δεν σημαίνει πάντοτε το τέλος της βίας: μετά τον χωρισμό, ο έλεγχος μπορεί να συνεχιστεί μέσω παρενόχλησης, απειλών, οικονομικής πίεσης, καταχρηστικής χρήσης των δικαστικών διαδικασιών και </w:t>
      </w:r>
      <w:proofErr w:type="spellStart"/>
      <w:r>
        <w:rPr>
          <w:lang w:val="el-GR"/>
        </w:rPr>
        <w:t>εργαλειοποίησης</w:t>
      </w:r>
      <w:proofErr w:type="spellEnd"/>
      <w:r>
        <w:rPr>
          <w:lang w:val="el-GR"/>
        </w:rPr>
        <w:t xml:space="preserve"> των παιδιών και της επιμέλειάς τους (</w:t>
      </w:r>
      <w:r>
        <w:t>Spearman</w:t>
      </w:r>
      <w:r>
        <w:rPr>
          <w:lang w:val="el-GR"/>
        </w:rPr>
        <w:t xml:space="preserve"> </w:t>
      </w:r>
      <w:r>
        <w:t>et</w:t>
      </w:r>
      <w:r>
        <w:rPr>
          <w:lang w:val="el-GR"/>
        </w:rPr>
        <w:t xml:space="preserve"> </w:t>
      </w:r>
      <w:r>
        <w:t>al</w:t>
      </w:r>
      <w:r>
        <w:rPr>
          <w:lang w:val="el-GR"/>
        </w:rPr>
        <w:t>., 2024·</w:t>
      </w:r>
      <w:r>
        <w:t>Stark</w:t>
      </w:r>
      <w:r>
        <w:rPr>
          <w:lang w:val="el-GR"/>
        </w:rPr>
        <w:t>, 2007).</w:t>
      </w:r>
    </w:p>
    <w:p w14:paraId="014A200D" w14:textId="77777777" w:rsidR="00E63D5B" w:rsidRPr="00132066" w:rsidRDefault="001F059D">
      <w:pPr>
        <w:rPr>
          <w:lang w:val="el-GR"/>
        </w:rPr>
      </w:pPr>
      <w:r>
        <w:rPr>
          <w:lang w:val="el-GR"/>
        </w:rPr>
        <w:t xml:space="preserve">Τα παιδιά επηρεάζονται ακόμη και όταν δεν είναι τα ίδια στόχος άμεσης κακοποίησης. Βλέπουν ή ακούν τα επεισόδια, αντιλαμβάνονται τις συνέπειές τους, προσπαθούν να προστατεύσουν τη μητέρα ή χρησιμοποιούνται από τον δράστη ως μέσο ελέγχου. Η έκθεσή τους συνδέεται με συναισθηματικές και </w:t>
      </w:r>
      <w:proofErr w:type="spellStart"/>
      <w:r>
        <w:rPr>
          <w:lang w:val="el-GR"/>
        </w:rPr>
        <w:t>συμπεριφορικές</w:t>
      </w:r>
      <w:proofErr w:type="spellEnd"/>
      <w:r>
        <w:rPr>
          <w:lang w:val="el-GR"/>
        </w:rPr>
        <w:t xml:space="preserve"> δυσκολίες, </w:t>
      </w:r>
      <w:proofErr w:type="spellStart"/>
      <w:r>
        <w:rPr>
          <w:lang w:val="el-GR"/>
        </w:rPr>
        <w:t>μετατραυματικά</w:t>
      </w:r>
      <w:proofErr w:type="spellEnd"/>
      <w:r>
        <w:rPr>
          <w:lang w:val="el-GR"/>
        </w:rPr>
        <w:t xml:space="preserve"> συμπτώματα, προβλήματα στην κοινωνική λειτουργικότητα και αυξημένη πιθανότητα </w:t>
      </w:r>
      <w:proofErr w:type="spellStart"/>
      <w:r>
        <w:rPr>
          <w:lang w:val="el-GR"/>
        </w:rPr>
        <w:t>θυματοποίησης</w:t>
      </w:r>
      <w:proofErr w:type="spellEnd"/>
      <w:r>
        <w:rPr>
          <w:lang w:val="el-GR"/>
        </w:rPr>
        <w:t xml:space="preserve"> ή άσκησης βίας σε μεταγενέστερες σχέσεις (</w:t>
      </w:r>
      <w:r>
        <w:t>Evans</w:t>
      </w:r>
      <w:r>
        <w:rPr>
          <w:lang w:val="el-GR"/>
        </w:rPr>
        <w:t xml:space="preserve"> </w:t>
      </w:r>
      <w:r>
        <w:t>et</w:t>
      </w:r>
      <w:r>
        <w:rPr>
          <w:lang w:val="el-GR"/>
        </w:rPr>
        <w:t xml:space="preserve"> </w:t>
      </w:r>
      <w:r>
        <w:t>al</w:t>
      </w:r>
      <w:r>
        <w:rPr>
          <w:lang w:val="el-GR"/>
        </w:rPr>
        <w:t>., 2008·</w:t>
      </w:r>
      <w:r>
        <w:t>Kitzmann</w:t>
      </w:r>
      <w:r>
        <w:rPr>
          <w:lang w:val="el-GR"/>
        </w:rPr>
        <w:t xml:space="preserve"> </w:t>
      </w:r>
      <w:r>
        <w:t>et</w:t>
      </w:r>
      <w:r>
        <w:rPr>
          <w:lang w:val="el-GR"/>
        </w:rPr>
        <w:t xml:space="preserve"> </w:t>
      </w:r>
      <w:r>
        <w:t>al</w:t>
      </w:r>
      <w:r>
        <w:rPr>
          <w:lang w:val="el-GR"/>
        </w:rPr>
        <w:t>., 2003·</w:t>
      </w:r>
      <w:r>
        <w:t>McFarlane</w:t>
      </w:r>
      <w:r>
        <w:rPr>
          <w:lang w:val="el-GR"/>
        </w:rPr>
        <w:t xml:space="preserve"> </w:t>
      </w:r>
      <w:r>
        <w:t>et</w:t>
      </w:r>
      <w:r>
        <w:rPr>
          <w:lang w:val="el-GR"/>
        </w:rPr>
        <w:t xml:space="preserve"> </w:t>
      </w:r>
      <w:r>
        <w:t>al</w:t>
      </w:r>
      <w:r>
        <w:rPr>
          <w:lang w:val="el-GR"/>
        </w:rPr>
        <w:t>., 2017). Η συνέχεια αυτή μεταξύ των γενεών περιγράφεται ως «</w:t>
      </w:r>
      <w:proofErr w:type="spellStart"/>
      <w:r>
        <w:rPr>
          <w:lang w:val="el-GR"/>
        </w:rPr>
        <w:t>διαγενεακή</w:t>
      </w:r>
      <w:proofErr w:type="spellEnd"/>
      <w:r>
        <w:rPr>
          <w:lang w:val="el-GR"/>
        </w:rPr>
        <w:t xml:space="preserve"> μετάδοση» της βίας και του τραύματος. Οι σύγχρονες προσεγγίσεις, ωστόσο, δεν την αντιλαμβάνονται ως γραμμικό και αναπόφευκτο «κύκλο», αλλά ως </w:t>
      </w:r>
      <w:proofErr w:type="spellStart"/>
      <w:r>
        <w:rPr>
          <w:lang w:val="el-GR"/>
        </w:rPr>
        <w:t>πολυπαραγοντική</w:t>
      </w:r>
      <w:proofErr w:type="spellEnd"/>
      <w:r>
        <w:rPr>
          <w:lang w:val="el-GR"/>
        </w:rPr>
        <w:t xml:space="preserve"> αναπτυξιακή διαδικασία, η οποία μπορεί να διακοπεί μέσα από εμπειρίες ασφάλειας, σταθερής φροντίδας, κοινωνικής υποστήριξης και θεραπευτικής επεξεργασίας (</w:t>
      </w:r>
      <w:proofErr w:type="spellStart"/>
      <w:r>
        <w:t>Ehrensaft</w:t>
      </w:r>
      <w:proofErr w:type="spellEnd"/>
      <w:r>
        <w:rPr>
          <w:lang w:val="el-GR"/>
        </w:rPr>
        <w:t xml:space="preserve"> &amp; </w:t>
      </w:r>
      <w:proofErr w:type="spellStart"/>
      <w:r>
        <w:t>Langhinrichsen</w:t>
      </w:r>
      <w:proofErr w:type="spellEnd"/>
      <w:r>
        <w:rPr>
          <w:lang w:val="el-GR"/>
        </w:rPr>
        <w:t>-</w:t>
      </w:r>
      <w:r>
        <w:t>Rohling</w:t>
      </w:r>
      <w:r>
        <w:rPr>
          <w:lang w:val="el-GR"/>
        </w:rPr>
        <w:t>, 2022·</w:t>
      </w:r>
      <w:r>
        <w:t>Stith</w:t>
      </w:r>
      <w:r>
        <w:rPr>
          <w:lang w:val="el-GR"/>
        </w:rPr>
        <w:t xml:space="preserve"> </w:t>
      </w:r>
      <w:r>
        <w:t>et</w:t>
      </w:r>
      <w:r>
        <w:rPr>
          <w:lang w:val="el-GR"/>
        </w:rPr>
        <w:t xml:space="preserve"> </w:t>
      </w:r>
      <w:r>
        <w:t>al</w:t>
      </w:r>
      <w:r>
        <w:rPr>
          <w:lang w:val="el-GR"/>
        </w:rPr>
        <w:t>., 2000).</w:t>
      </w:r>
    </w:p>
    <w:p w14:paraId="13BC4FA4" w14:textId="77777777" w:rsidR="00E63D5B" w:rsidRPr="00132066" w:rsidRDefault="001F059D">
      <w:pPr>
        <w:rPr>
          <w:lang w:val="el-GR"/>
        </w:rPr>
      </w:pPr>
      <w:r>
        <w:rPr>
          <w:lang w:val="el-GR"/>
        </w:rPr>
        <w:t xml:space="preserve">Παρά τη διεύρυνση της βιβλιογραφίας, παραμένουν σημαντικά κενά. Πολλές μελέτες εξετάζουν χωριστά τις επιπτώσεις στις γυναίκες και τις επιπτώσεις στα παιδιά, η έμφαση δίνεται στην ψυχοπαθολογία και λιγότερο στις προστατευτικές διεργασίες και στην ανθεκτικότητα, και η σύνδεση των ποσοτικών δεικτών με τη βιωμένη εμπειρία των επιζωσών παραμένει περιορισμένη. Στην Ελλάδα, ειδικότερα, δεν υπήρχε έως τώρα μελέτη που να εξετάζει ταυτόχρονα, στον ίδιο πληθυσμό, το τραύμα των γυναικών, την προσαρμογή των παιδιών τους, τους μηχανισμούς </w:t>
      </w:r>
      <w:proofErr w:type="spellStart"/>
      <w:r>
        <w:rPr>
          <w:lang w:val="el-GR"/>
        </w:rPr>
        <w:t>διαγενεακής</w:t>
      </w:r>
      <w:proofErr w:type="spellEnd"/>
      <w:r>
        <w:rPr>
          <w:lang w:val="el-GR"/>
        </w:rPr>
        <w:t xml:space="preserve"> μετάδοσης και τη </w:t>
      </w:r>
      <w:proofErr w:type="spellStart"/>
      <w:r>
        <w:rPr>
          <w:lang w:val="el-GR"/>
        </w:rPr>
        <w:t>μετατραυματική</w:t>
      </w:r>
      <w:proofErr w:type="spellEnd"/>
      <w:r>
        <w:rPr>
          <w:lang w:val="el-GR"/>
        </w:rPr>
        <w:t xml:space="preserve"> ανάπτυξη. Η παρούσα έρευνα επιχειρεί να καλύψει αυτό το κενό.</w:t>
      </w:r>
    </w:p>
    <w:p w14:paraId="3A4813E8" w14:textId="77777777" w:rsidR="00E63D5B" w:rsidRPr="00132066" w:rsidRDefault="001F059D">
      <w:pPr>
        <w:pStyle w:val="20"/>
        <w:rPr>
          <w:lang w:val="el-GR"/>
        </w:rPr>
      </w:pPr>
      <w:bookmarkStart w:id="5" w:name="_Toc242134410"/>
      <w:r>
        <w:rPr>
          <w:lang w:val="el-GR"/>
        </w:rPr>
        <w:t>1.3 Σκοπός και στόχοι</w:t>
      </w:r>
      <w:bookmarkEnd w:id="5"/>
    </w:p>
    <w:p w14:paraId="7A307BA3" w14:textId="77777777" w:rsidR="00E63D5B" w:rsidRPr="00132066" w:rsidRDefault="001F059D">
      <w:pPr>
        <w:rPr>
          <w:lang w:val="el-GR"/>
        </w:rPr>
      </w:pPr>
      <w:r>
        <w:rPr>
          <w:lang w:val="el-GR"/>
        </w:rPr>
        <w:t xml:space="preserve">Σκοπός της έρευνας είναι η κατανόηση του τραύματος που βιώνουν οι γυναίκες θύματα ενδοοικογενειακής βίας, η διερεύνηση της μετάδοσης του τραύματος στα παιδιά τους και η μελέτη </w:t>
      </w:r>
      <w:r>
        <w:rPr>
          <w:lang w:val="el-GR"/>
        </w:rPr>
        <w:lastRenderedPageBreak/>
        <w:t xml:space="preserve">της σχέσης του τραύματος με τη </w:t>
      </w:r>
      <w:proofErr w:type="spellStart"/>
      <w:r>
        <w:rPr>
          <w:lang w:val="el-GR"/>
        </w:rPr>
        <w:t>μετατραυματική</w:t>
      </w:r>
      <w:proofErr w:type="spellEnd"/>
      <w:r>
        <w:rPr>
          <w:lang w:val="el-GR"/>
        </w:rPr>
        <w:t xml:space="preserve"> ανάπτυξη, με απώτερο στόχο τη διατύπωση τεκμηριωμένων προτάσεων πρόληψης και παρέμβασης. Οι επιμέρους στόχοι, κοινοί για το ποσοτικό και το ποιοτικό σκέλος, είναι:</w:t>
      </w:r>
    </w:p>
    <w:p w14:paraId="31042855" w14:textId="77777777" w:rsidR="00E63D5B" w:rsidRPr="00132066" w:rsidRDefault="001F059D">
      <w:pPr>
        <w:pBdr>
          <w:top w:val="nil"/>
          <w:left w:val="nil"/>
          <w:bottom w:val="nil"/>
          <w:right w:val="nil"/>
          <w:between w:val="nil"/>
        </w:pBdr>
        <w:spacing w:after="0"/>
        <w:jc w:val="left"/>
        <w:rPr>
          <w:color w:val="000000"/>
          <w:lang w:val="el-GR"/>
        </w:rPr>
      </w:pPr>
      <w:r>
        <w:rPr>
          <w:lang w:val="el-GR"/>
        </w:rPr>
        <w:t xml:space="preserve">(α) </w:t>
      </w:r>
      <w:r>
        <w:rPr>
          <w:color w:val="000000"/>
          <w:lang w:val="el-GR"/>
        </w:rPr>
        <w:t>η συσχέτιση του τραύματος με την ποιότητα ζωής και τη σωματική και ψυχική υγεία των γυναικών,</w:t>
      </w:r>
    </w:p>
    <w:p w14:paraId="078C1222" w14:textId="77777777" w:rsidR="00E63D5B" w:rsidRPr="00132066" w:rsidRDefault="001F059D">
      <w:pPr>
        <w:pBdr>
          <w:top w:val="nil"/>
          <w:left w:val="nil"/>
          <w:bottom w:val="nil"/>
          <w:right w:val="nil"/>
          <w:between w:val="nil"/>
        </w:pBdr>
        <w:spacing w:after="0"/>
        <w:jc w:val="left"/>
        <w:rPr>
          <w:color w:val="000000"/>
          <w:lang w:val="el-GR"/>
        </w:rPr>
      </w:pPr>
      <w:r>
        <w:rPr>
          <w:lang w:val="el-GR"/>
        </w:rPr>
        <w:t xml:space="preserve">(β) </w:t>
      </w:r>
      <w:r>
        <w:rPr>
          <w:color w:val="000000"/>
          <w:lang w:val="el-GR"/>
        </w:rPr>
        <w:t xml:space="preserve">η διερεύνηση του τραύματος στα παιδιά, της ψυχοκοινωνικής τους προσαρμογής, της </w:t>
      </w:r>
      <w:proofErr w:type="spellStart"/>
      <w:r>
        <w:rPr>
          <w:color w:val="000000"/>
          <w:lang w:val="el-GR"/>
        </w:rPr>
        <w:t>μετατραυματικής</w:t>
      </w:r>
      <w:proofErr w:type="spellEnd"/>
      <w:r>
        <w:rPr>
          <w:color w:val="000000"/>
          <w:lang w:val="el-GR"/>
        </w:rPr>
        <w:t xml:space="preserve"> τους ανάπτυξης και της ψυχικής τους ανθεκτικότητας,</w:t>
      </w:r>
    </w:p>
    <w:p w14:paraId="23A0603F" w14:textId="77777777" w:rsidR="00E63D5B" w:rsidRPr="00132066" w:rsidRDefault="001F059D">
      <w:pPr>
        <w:pBdr>
          <w:top w:val="nil"/>
          <w:left w:val="nil"/>
          <w:bottom w:val="nil"/>
          <w:right w:val="nil"/>
          <w:between w:val="nil"/>
        </w:pBdr>
        <w:spacing w:after="0"/>
        <w:jc w:val="left"/>
        <w:rPr>
          <w:color w:val="000000"/>
          <w:lang w:val="el-GR"/>
        </w:rPr>
      </w:pPr>
      <w:r>
        <w:rPr>
          <w:lang w:val="el-GR"/>
        </w:rPr>
        <w:t xml:space="preserve">(γ) </w:t>
      </w:r>
      <w:r>
        <w:rPr>
          <w:color w:val="000000"/>
          <w:lang w:val="el-GR"/>
        </w:rPr>
        <w:t xml:space="preserve">η διερεύνηση της </w:t>
      </w:r>
      <w:proofErr w:type="spellStart"/>
      <w:r>
        <w:rPr>
          <w:color w:val="000000"/>
          <w:lang w:val="el-GR"/>
        </w:rPr>
        <w:t>διαγενεακής</w:t>
      </w:r>
      <w:proofErr w:type="spellEnd"/>
      <w:r>
        <w:rPr>
          <w:color w:val="000000"/>
          <w:lang w:val="el-GR"/>
        </w:rPr>
        <w:t xml:space="preserve"> μετάδοσης του τραύματος και της βίας και του ρόλου του γονικού δεσμού και των γονικών πρακτικών σε αυτήν,</w:t>
      </w:r>
    </w:p>
    <w:p w14:paraId="5A9905B6" w14:textId="77777777" w:rsidR="00E63D5B" w:rsidRPr="00132066" w:rsidRDefault="001F059D">
      <w:pPr>
        <w:pBdr>
          <w:top w:val="nil"/>
          <w:left w:val="nil"/>
          <w:bottom w:val="nil"/>
          <w:right w:val="nil"/>
          <w:between w:val="nil"/>
        </w:pBdr>
        <w:spacing w:after="0"/>
        <w:jc w:val="left"/>
        <w:rPr>
          <w:color w:val="000000"/>
          <w:lang w:val="el-GR"/>
        </w:rPr>
      </w:pPr>
      <w:r>
        <w:rPr>
          <w:lang w:val="el-GR"/>
        </w:rPr>
        <w:t xml:space="preserve">(δ) </w:t>
      </w:r>
      <w:r>
        <w:rPr>
          <w:color w:val="000000"/>
          <w:lang w:val="el-GR"/>
        </w:rPr>
        <w:t xml:space="preserve">η διερεύνηση της σχέσης του τραύματος με τη </w:t>
      </w:r>
      <w:proofErr w:type="spellStart"/>
      <w:r>
        <w:rPr>
          <w:color w:val="000000"/>
          <w:lang w:val="el-GR"/>
        </w:rPr>
        <w:t>μετατραυματική</w:t>
      </w:r>
      <w:proofErr w:type="spellEnd"/>
      <w:r>
        <w:rPr>
          <w:color w:val="000000"/>
          <w:lang w:val="el-GR"/>
        </w:rPr>
        <w:t xml:space="preserve"> ανάπτυξη των γυναικών και η ανίχνευση των παραγόντων που τη διαφοροποιούν,</w:t>
      </w:r>
    </w:p>
    <w:p w14:paraId="3B7CF321" w14:textId="77777777" w:rsidR="00E63D5B" w:rsidRPr="00132066" w:rsidRDefault="001F059D">
      <w:pPr>
        <w:pBdr>
          <w:top w:val="nil"/>
          <w:left w:val="nil"/>
          <w:bottom w:val="nil"/>
          <w:right w:val="nil"/>
          <w:between w:val="nil"/>
        </w:pBdr>
        <w:spacing w:after="0"/>
        <w:jc w:val="left"/>
        <w:rPr>
          <w:color w:val="000000"/>
          <w:lang w:val="el-GR"/>
        </w:rPr>
      </w:pPr>
      <w:r>
        <w:rPr>
          <w:lang w:val="el-GR"/>
        </w:rPr>
        <w:t xml:space="preserve">(ε) </w:t>
      </w:r>
      <w:r>
        <w:rPr>
          <w:color w:val="000000"/>
          <w:lang w:val="el-GR"/>
        </w:rPr>
        <w:t>η παράλληλη διερεύνηση της εμπειρίας της ενδοοικογενειακής βίας σε μετανάστριες και προσφύγισσες στην Ελλάδα, ανεξαρτήτως της καταγωγής του συζύγου ή συντρόφου,</w:t>
      </w:r>
    </w:p>
    <w:p w14:paraId="438814ED" w14:textId="77777777" w:rsidR="00E63D5B" w:rsidRPr="00132066" w:rsidRDefault="001F059D">
      <w:pPr>
        <w:pBdr>
          <w:top w:val="nil"/>
          <w:left w:val="nil"/>
          <w:bottom w:val="nil"/>
          <w:right w:val="nil"/>
          <w:between w:val="nil"/>
        </w:pBdr>
        <w:spacing w:after="60"/>
        <w:jc w:val="left"/>
        <w:rPr>
          <w:color w:val="000000"/>
          <w:lang w:val="el-GR"/>
        </w:rPr>
      </w:pPr>
      <w:r>
        <w:rPr>
          <w:lang w:val="el-GR"/>
        </w:rPr>
        <w:t>(</w:t>
      </w:r>
      <w:proofErr w:type="spellStart"/>
      <w:r>
        <w:rPr>
          <w:lang w:val="el-GR"/>
        </w:rPr>
        <w:t>στ</w:t>
      </w:r>
      <w:proofErr w:type="spellEnd"/>
      <w:r>
        <w:rPr>
          <w:lang w:val="el-GR"/>
        </w:rPr>
        <w:t xml:space="preserve">) </w:t>
      </w:r>
      <w:r>
        <w:rPr>
          <w:color w:val="000000"/>
          <w:lang w:val="el-GR"/>
        </w:rPr>
        <w:t>η εις βάθος κατανόηση της βιωμένης εμπειρίας της βίας, όπως αναδεικνύεται μέσα από τις αφηγήσεις των ίδιων των γυναικών.</w:t>
      </w:r>
    </w:p>
    <w:p w14:paraId="56979D11" w14:textId="77777777" w:rsidR="00E63D5B" w:rsidRPr="00132066" w:rsidRDefault="001F059D">
      <w:pPr>
        <w:rPr>
          <w:lang w:val="el-GR"/>
        </w:rPr>
      </w:pPr>
      <w:r>
        <w:rPr>
          <w:lang w:val="el-GR"/>
        </w:rPr>
        <w:t>Στο Κεφάλαιο 9 της παρούσας Σύνοψης τα συμπεράσματα της έρευνας παρουσιάζονται αναλυτικά σε αντιστοιχία με καθέναν από τους έξι αυτούς στόχους.</w:t>
      </w:r>
    </w:p>
    <w:p w14:paraId="11716E45" w14:textId="77777777" w:rsidR="00E63D5B" w:rsidRPr="00132066" w:rsidRDefault="001F059D">
      <w:pPr>
        <w:pStyle w:val="20"/>
        <w:rPr>
          <w:lang w:val="el-GR"/>
        </w:rPr>
      </w:pPr>
      <w:bookmarkStart w:id="6" w:name="_Toc242134411"/>
      <w:r>
        <w:rPr>
          <w:lang w:val="el-GR"/>
        </w:rPr>
        <w:t>1.4 Δομή της Επιτελικής Σύνοψης</w:t>
      </w:r>
      <w:bookmarkEnd w:id="6"/>
    </w:p>
    <w:p w14:paraId="479FFF6B" w14:textId="77777777" w:rsidR="000956C9" w:rsidRPr="009C3AC6" w:rsidRDefault="00F56A84">
      <w:pPr>
        <w:rPr>
          <w:lang w:val="el-GR"/>
        </w:rPr>
      </w:pPr>
      <w:r w:rsidRPr="009C3AC6">
        <w:rPr>
          <w:lang w:val="el-GR"/>
        </w:rPr>
        <w:t xml:space="preserve">Η Επιτελική Σύνοψη οργανώνεται σε δέκα κεφάλαια. Το Κεφάλαιο 1 παρουσιάζει την ταυτότητα της έρευνας, την αναγκαιότητά της, τον σκοπό και τους στόχους της. Το Κεφάλαιο 2 συνοψίζει τη βιβλιογραφική ανασκόπηση: τους ορισμούς και τις μορφές βίας κατά των γυναικών, την έκταση του φαινομένου, τους παράγοντες κινδύνου, τις θεωρητικές προσεγγίσεις, τις επιπτώσεις στις γυναίκες και στα παιδιά, τη </w:t>
      </w:r>
      <w:proofErr w:type="spellStart"/>
      <w:r w:rsidRPr="009C3AC6">
        <w:rPr>
          <w:lang w:val="el-GR"/>
        </w:rPr>
        <w:t>διαγενεακή</w:t>
      </w:r>
      <w:proofErr w:type="spellEnd"/>
      <w:r w:rsidRPr="009C3AC6">
        <w:rPr>
          <w:lang w:val="el-GR"/>
        </w:rPr>
        <w:t xml:space="preserve"> μετάδοση της βίας και του τραύματος και τη </w:t>
      </w:r>
      <w:proofErr w:type="spellStart"/>
      <w:r w:rsidRPr="009C3AC6">
        <w:rPr>
          <w:lang w:val="el-GR"/>
        </w:rPr>
        <w:t>μετατραυματική</w:t>
      </w:r>
      <w:proofErr w:type="spellEnd"/>
      <w:r w:rsidRPr="009C3AC6">
        <w:rPr>
          <w:lang w:val="el-GR"/>
        </w:rPr>
        <w:t xml:space="preserve"> ανάπτυξη. Το Κεφάλαιο 3 περιγράφει το ελληνικό, το ευρωπαϊκό και το διεθνές θεσμικό πλαίσιο και το Κεφάλαιο 4 τις καλές πρακτικές και τα προγράμματα παρέμβασης. Το Κεφάλαιο 5 εκθέτει τη μεθοδολογία του ποσοτικού και του ποιοτικού σκέλους. Τα Κεφάλαια 6 και 7 παρουσιάζουν τα αποτελέσματα της ποσοτικής και της ποιοτικής έρευνας αντίστοιχα. Το Κεφάλαιο 8 ερμηνεύει και συνθέτει τα ευρήματα των δύο σκελών και αναφέρει τους περιορισμούς της έρευνας. Το Κεφάλαιο 9 διατυπώνει τα συμπεράσματα σε αντιστοιχία με τους στόχους και το Κεφάλαιο 10 τις προτάσεις παρέμβασης ανά ομάδα-στόχο. Η Σύνοψη κλείνει με τη βιβλιογραφία.</w:t>
      </w:r>
    </w:p>
    <w:p w14:paraId="6016881B" w14:textId="0B39A83D" w:rsidR="000956C9" w:rsidRPr="00CE34AE" w:rsidRDefault="00B65055">
      <w:pPr>
        <w:rPr>
          <w:lang w:val="el-GR"/>
        </w:rPr>
      </w:pPr>
      <w:r w:rsidRPr="00D84B1E">
        <w:rPr>
          <w:i/>
          <w:iCs/>
          <w:lang w:val="el-GR"/>
        </w:rPr>
        <w:t>Σημείωση</w:t>
      </w:r>
      <w:r>
        <w:rPr>
          <w:lang w:val="el-GR"/>
        </w:rPr>
        <w:t xml:space="preserve">: </w:t>
      </w:r>
      <w:r w:rsidR="00F56A84" w:rsidRPr="009C3AC6">
        <w:rPr>
          <w:lang w:val="el-GR"/>
        </w:rPr>
        <w:t>Τα αποτελέσματα παρουσιάζονται σε συνεχές κείμενο και οι αναλυτικοί στατιστικοί δείκτες συγκεντρώνονται σε περιορισμένο αριθμό πινάκων, των οποίων προηγείται πάντοτε η λεκτική περιγραφή. Κάθε ψυχομετρικό εργαλείο και αρκτικόλεξο εξηγείται στην πρώτη του εμφάνιση. Σε όλο το κείμενο δηλώνεται αν ένα εύρημα αφορά τις γυναίκες, τις μητέρες ή τα παιδιά και αν προέρχεται από τη βιβλιογραφία ή από τα δεδομένα της παρούσας έρευνας. Οι εμπειρίες των συμμετεχουσών στην ποιοτική έρευνα αποδίδονται σε πλάγιο λόγο και σε εισαγωγικά παρατίθενται μόνο σύντομες ενδεικτικές φράσεις τους</w:t>
      </w:r>
      <w:r w:rsidR="00F56A84" w:rsidRPr="00CE34AE">
        <w:rPr>
          <w:lang w:val="el-GR"/>
        </w:rPr>
        <w:t>.</w:t>
      </w:r>
    </w:p>
    <w:tbl>
      <w:tblPr>
        <w:tblStyle w:val="aff2"/>
        <w:tblW w:w="9072" w:type="dxa"/>
        <w:jc w:val="center"/>
        <w:tblLayout w:type="fixed"/>
        <w:tblLook w:val="0400" w:firstRow="0" w:lastRow="0" w:firstColumn="0" w:lastColumn="0" w:noHBand="0" w:noVBand="1"/>
      </w:tblPr>
      <w:tblGrid>
        <w:gridCol w:w="9072"/>
      </w:tblGrid>
      <w:tr w:rsidR="00E63D5B" w:rsidRPr="00D84B1E" w14:paraId="75E7503F" w14:textId="77777777">
        <w:trPr>
          <w:tblHeader/>
          <w:jc w:val="center"/>
        </w:trPr>
        <w:tc>
          <w:tcPr>
            <w:tcW w:w="9072" w:type="dxa"/>
            <w:tcBorders>
              <w:top w:val="single" w:sz="6" w:space="0" w:color="B7C7DE"/>
              <w:left w:val="single" w:sz="6" w:space="0" w:color="B7C7DE"/>
              <w:bottom w:val="single" w:sz="6" w:space="0" w:color="B7C7DE"/>
              <w:right w:val="single" w:sz="6" w:space="0" w:color="B7C7DE"/>
            </w:tcBorders>
            <w:shd w:val="clear" w:color="auto" w:fill="EEF2F8"/>
          </w:tcPr>
          <w:p w14:paraId="5B7064A6" w14:textId="77777777" w:rsidR="00E63D5B" w:rsidRPr="00132066" w:rsidRDefault="001F059D">
            <w:pPr>
              <w:spacing w:after="80" w:line="264" w:lineRule="auto"/>
              <w:jc w:val="left"/>
              <w:rPr>
                <w:lang w:val="el-GR"/>
              </w:rPr>
            </w:pPr>
            <w:r>
              <w:rPr>
                <w:b/>
                <w:bCs/>
                <w:lang w:val="el-GR"/>
              </w:rPr>
              <w:lastRenderedPageBreak/>
              <w:t>Ορολογία που χρησιμοποιείται στη Σύνοψη</w:t>
            </w:r>
          </w:p>
          <w:p w14:paraId="01D22347" w14:textId="77777777" w:rsidR="00E63D5B" w:rsidRPr="00132066" w:rsidRDefault="001F059D">
            <w:pPr>
              <w:spacing w:after="80" w:line="264" w:lineRule="auto"/>
              <w:ind w:left="170"/>
              <w:jc w:val="left"/>
              <w:rPr>
                <w:lang w:val="el-GR"/>
              </w:rPr>
            </w:pPr>
            <w:r>
              <w:rPr>
                <w:lang w:val="el-GR"/>
              </w:rPr>
              <w:t xml:space="preserve">• </w:t>
            </w:r>
            <w:r>
              <w:rPr>
                <w:b/>
                <w:bCs/>
                <w:lang w:val="el-GR"/>
              </w:rPr>
              <w:t>Ενδοοικογενειακή βία:</w:t>
            </w:r>
            <w:r>
              <w:rPr>
                <w:lang w:val="el-GR"/>
              </w:rPr>
              <w:t xml:space="preserve"> κάθε μορφή σωματικής, ψυχολογικής, λεκτικής, σεξουαλικής ή οικονομικής βίας μεταξύ μελών της οικογένειας ή του νοικοκυριού, από νυν ή πρώην συζύγους/συντρόφους, γονείς, παιδιά ή άλλα μέλη (</w:t>
            </w:r>
            <w:r>
              <w:t>Council</w:t>
            </w:r>
            <w:r>
              <w:rPr>
                <w:lang w:val="el-GR"/>
              </w:rPr>
              <w:t xml:space="preserve"> </w:t>
            </w:r>
            <w:r>
              <w:t>of</w:t>
            </w:r>
            <w:r>
              <w:rPr>
                <w:lang w:val="el-GR"/>
              </w:rPr>
              <w:t xml:space="preserve"> </w:t>
            </w:r>
            <w:r>
              <w:t>Europe</w:t>
            </w:r>
            <w:r>
              <w:rPr>
                <w:lang w:val="el-GR"/>
              </w:rPr>
              <w:t>, 2011·Ν. 3500/2006).</w:t>
            </w:r>
          </w:p>
          <w:p w14:paraId="75A00EA4" w14:textId="77777777" w:rsidR="00E63D5B" w:rsidRPr="00132066" w:rsidRDefault="001F059D">
            <w:pPr>
              <w:spacing w:after="80" w:line="264" w:lineRule="auto"/>
              <w:ind w:left="170"/>
              <w:jc w:val="left"/>
              <w:rPr>
                <w:lang w:val="el-GR"/>
              </w:rPr>
            </w:pPr>
            <w:r>
              <w:rPr>
                <w:lang w:val="el-GR"/>
              </w:rPr>
              <w:t xml:space="preserve">• </w:t>
            </w:r>
            <w:r>
              <w:rPr>
                <w:b/>
                <w:bCs/>
                <w:lang w:val="el-GR"/>
              </w:rPr>
              <w:t>Συντροφική βία:</w:t>
            </w:r>
            <w:r>
              <w:rPr>
                <w:lang w:val="el-GR"/>
              </w:rPr>
              <w:t xml:space="preserve"> βία από νυν ή πρώην σύζυγο ή σύντροφο (</w:t>
            </w:r>
            <w:r>
              <w:t>Krug</w:t>
            </w:r>
            <w:r>
              <w:rPr>
                <w:lang w:val="el-GR"/>
              </w:rPr>
              <w:t xml:space="preserve"> </w:t>
            </w:r>
            <w:r>
              <w:t>et</w:t>
            </w:r>
            <w:r>
              <w:rPr>
                <w:lang w:val="el-GR"/>
              </w:rPr>
              <w:t xml:space="preserve"> </w:t>
            </w:r>
            <w:r>
              <w:t>al</w:t>
            </w:r>
            <w:r>
              <w:rPr>
                <w:lang w:val="el-GR"/>
              </w:rPr>
              <w:t>., 2002·</w:t>
            </w:r>
            <w:r>
              <w:t>WHO</w:t>
            </w:r>
            <w:r>
              <w:rPr>
                <w:lang w:val="el-GR"/>
              </w:rPr>
              <w:t>, 2012).</w:t>
            </w:r>
          </w:p>
          <w:p w14:paraId="185E9E19" w14:textId="77777777" w:rsidR="00E63D5B" w:rsidRPr="00132066" w:rsidRDefault="001F059D">
            <w:pPr>
              <w:spacing w:after="80" w:line="264" w:lineRule="auto"/>
              <w:ind w:left="170"/>
              <w:jc w:val="left"/>
              <w:rPr>
                <w:lang w:val="el-GR"/>
              </w:rPr>
            </w:pPr>
            <w:r>
              <w:rPr>
                <w:lang w:val="el-GR"/>
              </w:rPr>
              <w:t xml:space="preserve">• </w:t>
            </w:r>
            <w:r>
              <w:rPr>
                <w:b/>
                <w:bCs/>
                <w:lang w:val="el-GR"/>
              </w:rPr>
              <w:t>Εξαναγκαστικός έλεγχος:</w:t>
            </w:r>
            <w:r>
              <w:rPr>
                <w:lang w:val="el-GR"/>
              </w:rPr>
              <w:t xml:space="preserve"> επαναλαμβανόμενο μοτίβο συμπεριφορών (απομόνωση, επιτήρηση, υποτίμηση, οικονομικός έλεγχος, απειλές) που περιορίζει την αυτονομία και την ελευθερία των γυναικών, ανεξάρτητα από την ύπαρξη σωματικής βίας (</w:t>
            </w:r>
            <w:r>
              <w:t>Stark</w:t>
            </w:r>
            <w:r>
              <w:rPr>
                <w:lang w:val="el-GR"/>
              </w:rPr>
              <w:t>, 2007).</w:t>
            </w:r>
          </w:p>
          <w:p w14:paraId="00E3DA83" w14:textId="77777777" w:rsidR="00E63D5B" w:rsidRPr="00132066" w:rsidRDefault="001F059D">
            <w:pPr>
              <w:spacing w:after="80" w:line="264" w:lineRule="auto"/>
              <w:ind w:left="170"/>
              <w:jc w:val="left"/>
              <w:rPr>
                <w:lang w:val="el-GR"/>
              </w:rPr>
            </w:pPr>
            <w:r>
              <w:rPr>
                <w:lang w:val="el-GR"/>
              </w:rPr>
              <w:t xml:space="preserve">• </w:t>
            </w:r>
            <w:r>
              <w:rPr>
                <w:b/>
                <w:bCs/>
                <w:lang w:val="el-GR"/>
              </w:rPr>
              <w:t xml:space="preserve">Διαταραχή </w:t>
            </w:r>
            <w:proofErr w:type="spellStart"/>
            <w:r>
              <w:rPr>
                <w:b/>
                <w:bCs/>
                <w:lang w:val="el-GR"/>
              </w:rPr>
              <w:t>Μετατραυματικού</w:t>
            </w:r>
            <w:proofErr w:type="spellEnd"/>
            <w:r>
              <w:rPr>
                <w:b/>
                <w:bCs/>
                <w:lang w:val="el-GR"/>
              </w:rPr>
              <w:t xml:space="preserve"> Στρες (ΔΜΤΣ):</w:t>
            </w:r>
            <w:r>
              <w:rPr>
                <w:lang w:val="el-GR"/>
              </w:rPr>
              <w:t xml:space="preserve"> ψυχική διαταραχή που μπορεί να εμφανιστεί μετά από τραυματικές εμπειρίες και περιλαμβάνει επανερχόμενες αναμνήσεις, αποφυγή, αρνητικές σκέψεις και διάθεση και συνεχή εγρήγορση (</w:t>
            </w:r>
            <w:r>
              <w:t>American</w:t>
            </w:r>
            <w:r>
              <w:rPr>
                <w:lang w:val="el-GR"/>
              </w:rPr>
              <w:t xml:space="preserve"> </w:t>
            </w:r>
            <w:r>
              <w:t>Psychiatric</w:t>
            </w:r>
            <w:r>
              <w:rPr>
                <w:lang w:val="el-GR"/>
              </w:rPr>
              <w:t xml:space="preserve"> </w:t>
            </w:r>
            <w:r>
              <w:t>Association</w:t>
            </w:r>
            <w:r>
              <w:rPr>
                <w:lang w:val="el-GR"/>
              </w:rPr>
              <w:t>, 2022). Στην έρευνα χρησιμοποιείται ο όρος «πιθανή ΔΜΤΣ» επειδή η ανίχνευση έγινε με ερωτηματολόγιο και όχι με κλινική διάγνωση.</w:t>
            </w:r>
          </w:p>
          <w:p w14:paraId="40427442" w14:textId="77777777" w:rsidR="00E63D5B" w:rsidRPr="00132066" w:rsidRDefault="001F059D">
            <w:pPr>
              <w:spacing w:after="80" w:line="264" w:lineRule="auto"/>
              <w:ind w:left="170"/>
              <w:jc w:val="left"/>
              <w:rPr>
                <w:lang w:val="el-GR"/>
              </w:rPr>
            </w:pPr>
            <w:r>
              <w:rPr>
                <w:lang w:val="el-GR"/>
              </w:rPr>
              <w:t xml:space="preserve">• </w:t>
            </w:r>
            <w:proofErr w:type="spellStart"/>
            <w:r>
              <w:rPr>
                <w:b/>
                <w:bCs/>
                <w:lang w:val="el-GR"/>
              </w:rPr>
              <w:t>Διαγενεακή</w:t>
            </w:r>
            <w:proofErr w:type="spellEnd"/>
            <w:r>
              <w:rPr>
                <w:b/>
                <w:bCs/>
                <w:lang w:val="el-GR"/>
              </w:rPr>
              <w:t xml:space="preserve"> μετάδοση:</w:t>
            </w:r>
            <w:r>
              <w:rPr>
                <w:lang w:val="el-GR"/>
              </w:rPr>
              <w:t xml:space="preserve"> η συνέχεια της βίας ή/και των συνεπειών του τραύματος από τη μία γενιά στην επόμενη, μέσα από σχεσιακούς, ψυχολογικούς και κοινωνικούς μηχανισμούς, χωρίς να συνιστά αναπόφευκτη επανάληψη (</w:t>
            </w:r>
            <w:proofErr w:type="spellStart"/>
            <w:r>
              <w:t>Ehrensaft</w:t>
            </w:r>
            <w:proofErr w:type="spellEnd"/>
            <w:r>
              <w:rPr>
                <w:lang w:val="el-GR"/>
              </w:rPr>
              <w:t xml:space="preserve"> &amp; </w:t>
            </w:r>
            <w:proofErr w:type="spellStart"/>
            <w:r>
              <w:t>Langhinrichsen</w:t>
            </w:r>
            <w:proofErr w:type="spellEnd"/>
            <w:r>
              <w:rPr>
                <w:lang w:val="el-GR"/>
              </w:rPr>
              <w:t>-</w:t>
            </w:r>
            <w:r>
              <w:t>Rohling</w:t>
            </w:r>
            <w:r>
              <w:rPr>
                <w:lang w:val="el-GR"/>
              </w:rPr>
              <w:t>, 2022·</w:t>
            </w:r>
            <w:r>
              <w:t>Isobel</w:t>
            </w:r>
            <w:r>
              <w:rPr>
                <w:lang w:val="el-GR"/>
              </w:rPr>
              <w:t xml:space="preserve"> </w:t>
            </w:r>
            <w:r>
              <w:t>et</w:t>
            </w:r>
            <w:r>
              <w:rPr>
                <w:lang w:val="el-GR"/>
              </w:rPr>
              <w:t xml:space="preserve"> </w:t>
            </w:r>
            <w:r>
              <w:t>al</w:t>
            </w:r>
            <w:r>
              <w:rPr>
                <w:lang w:val="el-GR"/>
              </w:rPr>
              <w:t>., 2019).</w:t>
            </w:r>
          </w:p>
          <w:p w14:paraId="5072E94F" w14:textId="77777777" w:rsidR="00E63D5B" w:rsidRPr="00132066" w:rsidRDefault="001F059D">
            <w:pPr>
              <w:spacing w:after="80" w:line="264" w:lineRule="auto"/>
              <w:ind w:left="170"/>
              <w:jc w:val="left"/>
              <w:rPr>
                <w:lang w:val="el-GR"/>
              </w:rPr>
            </w:pPr>
            <w:r>
              <w:rPr>
                <w:lang w:val="el-GR"/>
              </w:rPr>
              <w:t xml:space="preserve">• </w:t>
            </w:r>
            <w:proofErr w:type="spellStart"/>
            <w:r>
              <w:rPr>
                <w:b/>
                <w:bCs/>
                <w:lang w:val="el-GR"/>
              </w:rPr>
              <w:t>Μετατραυματική</w:t>
            </w:r>
            <w:proofErr w:type="spellEnd"/>
            <w:r>
              <w:rPr>
                <w:b/>
                <w:bCs/>
                <w:lang w:val="el-GR"/>
              </w:rPr>
              <w:t xml:space="preserve"> ανάπτυξη:</w:t>
            </w:r>
            <w:r>
              <w:rPr>
                <w:lang w:val="el-GR"/>
              </w:rPr>
              <w:t xml:space="preserve"> θετικές αλλαγές που μπορεί να αναφέρει ένα άτομο μετά την επεξεργασία μιας τραυματικής εμπειρίας (π.χ. μεγαλύτερη προσωπική δύναμη, νέες δυνατότητες, εκτίμηση της ζωής) (</w:t>
            </w:r>
            <w:r>
              <w:t>Tedeschi</w:t>
            </w:r>
            <w:r>
              <w:rPr>
                <w:lang w:val="el-GR"/>
              </w:rPr>
              <w:t xml:space="preserve"> &amp; </w:t>
            </w:r>
            <w:r>
              <w:t>Calhoun</w:t>
            </w:r>
            <w:r>
              <w:rPr>
                <w:lang w:val="el-GR"/>
              </w:rPr>
              <w:t>, 2004). Δεν σημαίνει απουσία συμπτωμάτων ούτε δικαιολογεί τη βία.</w:t>
            </w:r>
          </w:p>
          <w:p w14:paraId="636D5F21" w14:textId="60396955" w:rsidR="00E63D5B" w:rsidRPr="00132066" w:rsidRDefault="001F059D">
            <w:pPr>
              <w:spacing w:after="80" w:line="264" w:lineRule="auto"/>
              <w:ind w:left="170"/>
              <w:jc w:val="left"/>
              <w:rPr>
                <w:lang w:val="el-GR"/>
              </w:rPr>
            </w:pPr>
            <w:r>
              <w:rPr>
                <w:lang w:val="el-GR"/>
              </w:rPr>
              <w:t xml:space="preserve">• </w:t>
            </w:r>
            <w:r>
              <w:rPr>
                <w:b/>
                <w:bCs/>
                <w:lang w:val="el-GR"/>
              </w:rPr>
              <w:t>Επιζώσα:</w:t>
            </w:r>
            <w:r>
              <w:rPr>
                <w:lang w:val="el-GR"/>
              </w:rPr>
              <w:t xml:space="preserve"> ο όρος προτιμάται έναντι του όρου «θύμα», ώστε να αναγνωρίζεται η ενεργητική στάση των γυναικών απέναντι στη βία (</w:t>
            </w:r>
            <w:proofErr w:type="spellStart"/>
            <w:r w:rsidRPr="009C3AC6">
              <w:rPr>
                <w:lang w:val="el-GR"/>
              </w:rPr>
              <w:t>Kelly</w:t>
            </w:r>
            <w:proofErr w:type="spellEnd"/>
            <w:r w:rsidRPr="009C3AC6">
              <w:rPr>
                <w:lang w:val="el-GR"/>
              </w:rPr>
              <w:t>, 1988</w:t>
            </w:r>
            <w:r w:rsidR="00191B7B" w:rsidRPr="00191B7B">
              <w:rPr>
                <w:lang w:val="el-GR"/>
              </w:rPr>
              <w:t>,</w:t>
            </w:r>
            <w:r>
              <w:rPr>
                <w:lang w:val="el-GR"/>
              </w:rPr>
              <w:t>·Δρούγα και συν., 2001)·ο όρος «θύμα» χρησιμοποιείται όπου αναφέρεται σε νομικό πλαίσιο.</w:t>
            </w:r>
          </w:p>
        </w:tc>
      </w:tr>
    </w:tbl>
    <w:p w14:paraId="45FE8A3B" w14:textId="77777777" w:rsidR="00E63D5B" w:rsidRPr="00132066" w:rsidRDefault="001F059D">
      <w:pPr>
        <w:pStyle w:val="1"/>
        <w:pageBreakBefore/>
        <w:rPr>
          <w:lang w:val="el-GR"/>
        </w:rPr>
      </w:pPr>
      <w:bookmarkStart w:id="7" w:name="_Toc242134412"/>
      <w:r>
        <w:rPr>
          <w:lang w:val="el-GR"/>
        </w:rPr>
        <w:lastRenderedPageBreak/>
        <w:t>2. Θεωρητικό Πλαίσιο: Βιβλιογραφική Ανασκόπηση</w:t>
      </w:r>
      <w:bookmarkEnd w:id="7"/>
    </w:p>
    <w:p w14:paraId="5109D153" w14:textId="24EA6BF7" w:rsidR="00E63D5B" w:rsidRPr="00132066" w:rsidRDefault="001F059D">
      <w:pPr>
        <w:rPr>
          <w:lang w:val="el-GR"/>
        </w:rPr>
      </w:pPr>
      <w:r>
        <w:rPr>
          <w:lang w:val="el-GR"/>
        </w:rPr>
        <w:t>Στο κεφάλαιο αυτό παρουσιάζονται συνοπτικά οι βασικές έννοιες, τα επιδημιολογικά δεδομένα, οι θεωρητικές προσεγγίσεις και τα ερευνητικά ευρήματα που θεμελίωσαν τον σχεδιασμό της έρευνας.</w:t>
      </w:r>
    </w:p>
    <w:p w14:paraId="00B03978" w14:textId="77777777" w:rsidR="00E63D5B" w:rsidRPr="00132066" w:rsidRDefault="001F059D">
      <w:pPr>
        <w:pStyle w:val="20"/>
        <w:rPr>
          <w:lang w:val="el-GR"/>
        </w:rPr>
      </w:pPr>
      <w:bookmarkStart w:id="8" w:name="_Toc242134413"/>
      <w:r>
        <w:rPr>
          <w:lang w:val="el-GR"/>
        </w:rPr>
        <w:t>2.1 Ορισμοί και μορφές βίας κατά των γυναικών</w:t>
      </w:r>
      <w:bookmarkEnd w:id="8"/>
    </w:p>
    <w:p w14:paraId="03995BAE" w14:textId="77777777" w:rsidR="00E63D5B" w:rsidRPr="00132066" w:rsidRDefault="001F059D">
      <w:pPr>
        <w:rPr>
          <w:lang w:val="el-GR"/>
        </w:rPr>
      </w:pPr>
      <w:r>
        <w:rPr>
          <w:lang w:val="el-GR"/>
        </w:rPr>
        <w:t>Η ορολογία για τη βία στις στενές σχέσεις έχει μεταβληθεί σημαντικά τις τελευταίες δεκαετίες. Ιστορικά, η βία του συζύγου προς τη σύζυγο αντιμετωπιζόταν ως «συζυγική διαφορά» ή ως ιδιωτική υπόθεση της οικογένειας. Το γυναικείο κίνημα της δεκαετίας του 1970 την ανέδειξε ως δημόσιο, πολιτικό και θεσμικό ζήτημα (</w:t>
      </w:r>
      <w:proofErr w:type="spellStart"/>
      <w:r>
        <w:t>Dobash</w:t>
      </w:r>
      <w:proofErr w:type="spellEnd"/>
      <w:r>
        <w:rPr>
          <w:lang w:val="el-GR"/>
        </w:rPr>
        <w:t xml:space="preserve"> &amp; </w:t>
      </w:r>
      <w:proofErr w:type="spellStart"/>
      <w:r>
        <w:t>Dobash</w:t>
      </w:r>
      <w:proofErr w:type="spellEnd"/>
      <w:r>
        <w:rPr>
          <w:lang w:val="el-GR"/>
        </w:rPr>
        <w:t>, 1979·</w:t>
      </w:r>
      <w:r>
        <w:t>Schechter</w:t>
      </w:r>
      <w:r>
        <w:rPr>
          <w:lang w:val="el-GR"/>
        </w:rPr>
        <w:t>, 1982·</w:t>
      </w:r>
      <w:r>
        <w:t>Walker</w:t>
      </w:r>
      <w:r>
        <w:rPr>
          <w:lang w:val="el-GR"/>
        </w:rPr>
        <w:t>, 1979), και οι διεθνείς συμβάσεις την κατοχύρωσαν ως παραβίαση ανθρωπίνων δικαιωμάτων (</w:t>
      </w:r>
      <w:r>
        <w:t>United</w:t>
      </w:r>
      <w:r>
        <w:rPr>
          <w:lang w:val="el-GR"/>
        </w:rPr>
        <w:t xml:space="preserve"> </w:t>
      </w:r>
      <w:r>
        <w:t>Nations</w:t>
      </w:r>
      <w:r>
        <w:rPr>
          <w:lang w:val="el-GR"/>
        </w:rPr>
        <w:t xml:space="preserve"> </w:t>
      </w:r>
      <w:r>
        <w:t>General</w:t>
      </w:r>
      <w:r>
        <w:rPr>
          <w:lang w:val="el-GR"/>
        </w:rPr>
        <w:t xml:space="preserve"> </w:t>
      </w:r>
      <w:r>
        <w:t>Assembly</w:t>
      </w:r>
      <w:r>
        <w:rPr>
          <w:lang w:val="el-GR"/>
        </w:rPr>
        <w:t>, 1993). Η Σύμβαση της Κωνσταντινούπολης ορίζει τη «βία κατά των γυναικών» ως παραβίαση των ανθρωπίνων δικαιωμάτων και μορφή διάκρισης, η οποία περιλαμβάνει όλες τις πράξεις έμφυλης βίας που έχουν ή μπορεί να έχουν ως αποτέλεσμα σωματική, σεξουαλική, ψυχολογική ή οικονομική βλάβη (</w:t>
      </w:r>
      <w:r>
        <w:t>Council</w:t>
      </w:r>
      <w:r>
        <w:rPr>
          <w:lang w:val="el-GR"/>
        </w:rPr>
        <w:t xml:space="preserve"> </w:t>
      </w:r>
      <w:r>
        <w:t>of</w:t>
      </w:r>
      <w:r>
        <w:rPr>
          <w:lang w:val="el-GR"/>
        </w:rPr>
        <w:t xml:space="preserve"> </w:t>
      </w:r>
      <w:r>
        <w:t>Europe</w:t>
      </w:r>
      <w:r>
        <w:rPr>
          <w:lang w:val="el-GR"/>
        </w:rPr>
        <w:t>, 2011).</w:t>
      </w:r>
    </w:p>
    <w:p w14:paraId="2D5EE6B3" w14:textId="77777777" w:rsidR="00E63D5B" w:rsidRPr="00132066" w:rsidRDefault="001F059D">
      <w:pPr>
        <w:rPr>
          <w:lang w:val="el-GR"/>
        </w:rPr>
      </w:pPr>
      <w:r>
        <w:rPr>
          <w:lang w:val="el-GR"/>
        </w:rPr>
        <w:t>Η βία κατά των γυναικών ορίζεται ως κάθε πράξη έμφυλης βίας που προκαλεί ή ενδέχεται να προκαλέσει σωματική, σεξουαλική, ψυχολογική ή οικονομική βλάβη, συμπεριλαμβανομένων των απειλών, του εξαναγκασμού και της αυθαίρετης στέρησης της ελευθερίας, στον δημόσιο ή τον ιδιωτικό βίο (</w:t>
      </w:r>
      <w:r>
        <w:t>Council</w:t>
      </w:r>
      <w:r>
        <w:rPr>
          <w:lang w:val="el-GR"/>
        </w:rPr>
        <w:t xml:space="preserve"> </w:t>
      </w:r>
      <w:r>
        <w:t>of</w:t>
      </w:r>
      <w:r>
        <w:rPr>
          <w:lang w:val="el-GR"/>
        </w:rPr>
        <w:t xml:space="preserve"> </w:t>
      </w:r>
      <w:r>
        <w:t>Europe</w:t>
      </w:r>
      <w:r>
        <w:rPr>
          <w:lang w:val="el-GR"/>
        </w:rPr>
        <w:t xml:space="preserve">, 2011). Εκδηλώνεται σε </w:t>
      </w:r>
      <w:r>
        <w:rPr>
          <w:b/>
          <w:bCs/>
          <w:lang w:val="el-GR"/>
        </w:rPr>
        <w:t>τρία αλληλένδετα επίπεδα</w:t>
      </w:r>
      <w:r>
        <w:rPr>
          <w:lang w:val="el-GR"/>
        </w:rPr>
        <w:t>: εντός της οικογένειας, στην ευρύτερη κοινότητα και ως βία που ασκείται ή γίνεται ανεκτή από το κράτος (</w:t>
      </w:r>
      <w:r>
        <w:t>United</w:t>
      </w:r>
      <w:r>
        <w:rPr>
          <w:lang w:val="el-GR"/>
        </w:rPr>
        <w:t xml:space="preserve"> </w:t>
      </w:r>
      <w:r>
        <w:t>Nations</w:t>
      </w:r>
      <w:r>
        <w:rPr>
          <w:lang w:val="el-GR"/>
        </w:rPr>
        <w:t xml:space="preserve"> </w:t>
      </w:r>
      <w:r>
        <w:t>General</w:t>
      </w:r>
      <w:r>
        <w:rPr>
          <w:lang w:val="el-GR"/>
        </w:rPr>
        <w:t xml:space="preserve"> </w:t>
      </w:r>
      <w:r>
        <w:t>Assembly</w:t>
      </w:r>
      <w:r>
        <w:rPr>
          <w:lang w:val="el-GR"/>
        </w:rPr>
        <w:t>, 2006).</w:t>
      </w:r>
    </w:p>
    <w:p w14:paraId="2CC520C0" w14:textId="77777777" w:rsidR="00E63D5B" w:rsidRPr="00132066" w:rsidRDefault="001F059D">
      <w:pPr>
        <w:rPr>
          <w:lang w:val="el-GR"/>
        </w:rPr>
      </w:pPr>
      <w:r>
        <w:rPr>
          <w:b/>
          <w:bCs/>
          <w:lang w:val="el-GR"/>
        </w:rPr>
        <w:t>Στο οικογενειακό πλαίσιο</w:t>
      </w:r>
      <w:r>
        <w:rPr>
          <w:lang w:val="el-GR"/>
        </w:rPr>
        <w:t xml:space="preserve"> εντάσσεται πρωτίστως η συντροφική βία, δηλαδή κάθε συμπεριφορά νυν ή πρώην συντρόφου που προκαλεί σωματική, σεξουαλική ή ψυχολογική βλάβη ή αποσκοπεί στον έλεγχο των γυναικών (</w:t>
      </w:r>
      <w:r>
        <w:t>WHO</w:t>
      </w:r>
      <w:r>
        <w:rPr>
          <w:lang w:val="el-GR"/>
        </w:rPr>
        <w:t xml:space="preserve">, 2019). Η σωματική βία αφορά την εκ προθέσεως χρήση σωματικής δύναμης που μπορεί να προκαλέσει πόνο, τραυματισμό, αναπηρία ή θάνατο, με τη </w:t>
      </w:r>
      <w:proofErr w:type="spellStart"/>
      <w:r>
        <w:rPr>
          <w:lang w:val="el-GR"/>
        </w:rPr>
        <w:t>γυναικοκτονία</w:t>
      </w:r>
      <w:proofErr w:type="spellEnd"/>
      <w:r>
        <w:rPr>
          <w:lang w:val="el-GR"/>
        </w:rPr>
        <w:t xml:space="preserve"> να αποτελεί την ακραία, έμφυλη μορφή θανατηφόρας βίας (</w:t>
      </w:r>
      <w:r>
        <w:t>WHO</w:t>
      </w:r>
      <w:r>
        <w:rPr>
          <w:lang w:val="el-GR"/>
        </w:rPr>
        <w:t>, 2012·</w:t>
      </w:r>
      <w:r>
        <w:t>UNODC</w:t>
      </w:r>
      <w:r>
        <w:rPr>
          <w:lang w:val="el-GR"/>
        </w:rPr>
        <w:t xml:space="preserve"> &amp; </w:t>
      </w:r>
      <w:r>
        <w:t>UN</w:t>
      </w:r>
      <w:r>
        <w:rPr>
          <w:lang w:val="el-GR"/>
        </w:rPr>
        <w:t xml:space="preserve"> </w:t>
      </w:r>
      <w:r>
        <w:t>Women</w:t>
      </w:r>
      <w:r>
        <w:rPr>
          <w:lang w:val="el-GR"/>
        </w:rPr>
        <w:t>, 2023). Η ψυχολογική ή συναισθηματική βία περιλαμβάνει συμπεριφορές υποτίμησης, εκφοβισμού, απειλής, απομόνωσης και ελέγχου που προσβάλλουν την ψυχολογική ακεραιότητα και περιορίζουν την αυτονομία των γυναικών (</w:t>
      </w:r>
      <w:r>
        <w:t>WHO</w:t>
      </w:r>
      <w:r>
        <w:rPr>
          <w:lang w:val="el-GR"/>
        </w:rPr>
        <w:t>, 2012·</w:t>
      </w:r>
      <w:r>
        <w:t>Council</w:t>
      </w:r>
      <w:r>
        <w:rPr>
          <w:lang w:val="el-GR"/>
        </w:rPr>
        <w:t xml:space="preserve"> </w:t>
      </w:r>
      <w:r>
        <w:t>of</w:t>
      </w:r>
      <w:r>
        <w:rPr>
          <w:lang w:val="el-GR"/>
        </w:rPr>
        <w:t xml:space="preserve"> </w:t>
      </w:r>
      <w:r>
        <w:t>Europe</w:t>
      </w:r>
      <w:r>
        <w:rPr>
          <w:lang w:val="el-GR"/>
        </w:rPr>
        <w:t>, 2011). Η σεξουαλική βία αφορά κάθε σεξουαλική πράξη ή απόπειρα που επιβάλλεται χωρίς ελεύθερη συναίνεση, μέσω βίας, απειλών, εκφοβισμού ή κατάχρησης μιας σχέσης εξουσίας (</w:t>
      </w:r>
      <w:r>
        <w:t>WHO</w:t>
      </w:r>
      <w:r>
        <w:rPr>
          <w:lang w:val="el-GR"/>
        </w:rPr>
        <w:t>, 2012). Η οικονομική βία συνίσταται στον έλεγχο ή στη στέρηση οικονομικών πόρων, στην απαγόρευση εργασίας, στην αφαίρεση εισοδήματος ή στη δημιουργία χρεών και οικονομικής εξάρτησης, δυσχεραίνοντας συχνά την αποχώρηση από την κακοποιητική σχέση (ΚΕΘΙ, 2003·</w:t>
      </w:r>
      <w:r>
        <w:t>Sharp</w:t>
      </w:r>
      <w:r>
        <w:rPr>
          <w:lang w:val="el-GR"/>
        </w:rPr>
        <w:t>-</w:t>
      </w:r>
      <w:r>
        <w:t>Jeffs</w:t>
      </w:r>
      <w:r>
        <w:rPr>
          <w:lang w:val="el-GR"/>
        </w:rPr>
        <w:t xml:space="preserve"> </w:t>
      </w:r>
      <w:r>
        <w:t>et</w:t>
      </w:r>
      <w:r>
        <w:rPr>
          <w:lang w:val="el-GR"/>
        </w:rPr>
        <w:t xml:space="preserve"> </w:t>
      </w:r>
      <w:r>
        <w:t>al</w:t>
      </w:r>
      <w:r>
        <w:rPr>
          <w:lang w:val="el-GR"/>
        </w:rPr>
        <w:t>., 2018). Ιδιαίτερη μορφή αποτελεί η κακοποίηση ηλικιωμένων γυναικών, η οποία μπορεί να ασκείται από σύντροφο, ενήλικα παιδιά, συγγενείς ή πρόσωπα φροντίδας και να περιλαμβάνει σωματική, ψυχολογική, σεξουαλική ή οικονομική κακοποίηση, παραμέληση και στέρηση φροντίδας (</w:t>
      </w:r>
      <w:r>
        <w:t>WHO</w:t>
      </w:r>
      <w:r>
        <w:rPr>
          <w:lang w:val="el-GR"/>
        </w:rPr>
        <w:t>, 2022·</w:t>
      </w:r>
      <w:r>
        <w:t>Bows</w:t>
      </w:r>
      <w:r>
        <w:rPr>
          <w:lang w:val="el-GR"/>
        </w:rPr>
        <w:t>, 2018).</w:t>
      </w:r>
    </w:p>
    <w:p w14:paraId="21863763" w14:textId="77777777" w:rsidR="00E63D5B" w:rsidRPr="00132066" w:rsidRDefault="001F059D">
      <w:pPr>
        <w:rPr>
          <w:lang w:val="el-GR"/>
        </w:rPr>
      </w:pPr>
      <w:r>
        <w:rPr>
          <w:lang w:val="el-GR"/>
        </w:rPr>
        <w:t>Στη βία εντός της οικογένειας περιλαμβάνονται επίσης βλαπτικές πρακτικές που εδράζονται σε έμφυλες κοινωνικές και πολιτισμικές νόρμες. Ο ακρωτηριασμός των γυναικείων γεννητικών οργάνων αφορά κάθε μη ιατρική τροποποίηση ή πρόκληση βλάβης στα γυναικεία γεννητικά όργανα (</w:t>
      </w:r>
      <w:r>
        <w:t>WHO</w:t>
      </w:r>
      <w:r>
        <w:rPr>
          <w:lang w:val="el-GR"/>
        </w:rPr>
        <w:t>, 2024). Ο αναγκαστικός γάμος τελείται χωρίς την πλήρη και ελεύθερη συναίνεση τουλάχιστον ενός μέρους, ενώ ο παιδικός γάμος θεωρείται μορφή αναγκαστικού γάμου, καθώς το ανήλικο άτομο δεν μπορεί να παράσχει πλήρως ενημερωμένη συναίνεση (</w:t>
      </w:r>
      <w:r>
        <w:t>OHCHR</w:t>
      </w:r>
      <w:r>
        <w:rPr>
          <w:lang w:val="el-GR"/>
        </w:rPr>
        <w:t xml:space="preserve">, </w:t>
      </w:r>
      <w:r>
        <w:t>n</w:t>
      </w:r>
      <w:r>
        <w:rPr>
          <w:lang w:val="el-GR"/>
        </w:rPr>
        <w:t>.</w:t>
      </w:r>
      <w:r>
        <w:t>d</w:t>
      </w:r>
      <w:r>
        <w:rPr>
          <w:lang w:val="el-GR"/>
        </w:rPr>
        <w:t xml:space="preserve">.). Συναφείς πρακτικές είναι η προτίμηση αρσενικών απογόνων, η οποία μπορεί να οδηγήσει σε επιλεκτικό τερματισμό κύησης ή </w:t>
      </w:r>
      <w:r>
        <w:rPr>
          <w:lang w:val="el-GR"/>
        </w:rPr>
        <w:lastRenderedPageBreak/>
        <w:t>βρεφοκτονία θηλυκών βρεφών (</w:t>
      </w:r>
      <w:r>
        <w:t>UNFPA</w:t>
      </w:r>
      <w:r>
        <w:rPr>
          <w:lang w:val="el-GR"/>
        </w:rPr>
        <w:t>, 2020), η βία στο όνομα της “τιμής”, η οποία επιβάλλει οικογενειακούς ή κοινοτικούς κανόνες σχετικά με το φύλο, τη σεξουαλικότητα και τη συμπεριφορά (</w:t>
      </w:r>
      <w:r>
        <w:t>Council</w:t>
      </w:r>
      <w:r>
        <w:rPr>
          <w:lang w:val="el-GR"/>
        </w:rPr>
        <w:t xml:space="preserve"> </w:t>
      </w:r>
      <w:r>
        <w:t>of</w:t>
      </w:r>
      <w:r>
        <w:rPr>
          <w:lang w:val="el-GR"/>
        </w:rPr>
        <w:t xml:space="preserve"> </w:t>
      </w:r>
      <w:r>
        <w:t>Europe</w:t>
      </w:r>
      <w:r>
        <w:rPr>
          <w:lang w:val="el-GR"/>
        </w:rPr>
        <w:t>, 2011), και η βία που σχετίζεται με την προίκα, δηλαδή η κακοποίηση ή παρενόχληση που συνδέεται με απαιτήσεις παροχής ή λήψης προίκας πριν, κατά τη διάρκεια ή μετά τον γάμο (</w:t>
      </w:r>
      <w:r>
        <w:t>UNDAW</w:t>
      </w:r>
      <w:r>
        <w:rPr>
          <w:lang w:val="el-GR"/>
        </w:rPr>
        <w:t>, 2009).</w:t>
      </w:r>
    </w:p>
    <w:p w14:paraId="350793B1" w14:textId="53587DC3" w:rsidR="00E63D5B" w:rsidRPr="00132066" w:rsidRDefault="001F059D">
      <w:pPr>
        <w:rPr>
          <w:lang w:val="el-GR"/>
        </w:rPr>
      </w:pPr>
      <w:r>
        <w:rPr>
          <w:b/>
          <w:bCs/>
          <w:lang w:val="el-GR"/>
        </w:rPr>
        <w:t>Στο επίπεδο της κοινότητας</w:t>
      </w:r>
      <w:r>
        <w:rPr>
          <w:lang w:val="el-GR"/>
        </w:rPr>
        <w:t xml:space="preserve"> εντάσσονται η σωματική και η σεξουαλική βία από μη σύντροφο, </w:t>
      </w:r>
      <w:r w:rsidRPr="009C3AC6">
        <w:rPr>
          <w:lang w:val="el-GR"/>
        </w:rPr>
        <w:t xml:space="preserve">συμπεριλαμβανομένου του βιασμού, </w:t>
      </w:r>
      <w:r w:rsidR="00773B4F" w:rsidRPr="009C3AC6">
        <w:rPr>
          <w:lang w:val="el-GR"/>
        </w:rPr>
        <w:t>τ</w:t>
      </w:r>
      <w:r w:rsidRPr="009C3AC6">
        <w:rPr>
          <w:lang w:val="el-GR"/>
        </w:rPr>
        <w:t>η</w:t>
      </w:r>
      <w:r w:rsidR="00773B4F" w:rsidRPr="009C3AC6">
        <w:rPr>
          <w:lang w:val="el-GR"/>
        </w:rPr>
        <w:t>ς</w:t>
      </w:r>
      <w:r w:rsidRPr="009C3AC6">
        <w:rPr>
          <w:lang w:val="el-GR"/>
        </w:rPr>
        <w:t xml:space="preserve"> σεξουαλική</w:t>
      </w:r>
      <w:r w:rsidR="00773B4F" w:rsidRPr="009C3AC6">
        <w:rPr>
          <w:lang w:val="el-GR"/>
        </w:rPr>
        <w:t>ς</w:t>
      </w:r>
      <w:r w:rsidRPr="009C3AC6">
        <w:rPr>
          <w:lang w:val="el-GR"/>
        </w:rPr>
        <w:t xml:space="preserve"> παρενόχληση</w:t>
      </w:r>
      <w:r w:rsidR="00773B4F" w:rsidRPr="009C3AC6">
        <w:rPr>
          <w:lang w:val="el-GR"/>
        </w:rPr>
        <w:t>ς</w:t>
      </w:r>
      <w:r w:rsidRPr="009C3AC6">
        <w:rPr>
          <w:lang w:val="el-GR"/>
        </w:rPr>
        <w:t>, ιδίως στον χώρο εργασίας</w:t>
      </w:r>
      <w:r w:rsidRPr="008A0211">
        <w:rPr>
          <w:lang w:val="el-GR"/>
        </w:rPr>
        <w:t xml:space="preserve">, </w:t>
      </w:r>
      <w:r w:rsidR="00773B4F" w:rsidRPr="007F3330">
        <w:rPr>
          <w:lang w:val="el-GR"/>
        </w:rPr>
        <w:t>τ</w:t>
      </w:r>
      <w:r w:rsidRPr="00CF1F5D">
        <w:rPr>
          <w:lang w:val="el-GR"/>
        </w:rPr>
        <w:t>η</w:t>
      </w:r>
      <w:r w:rsidR="00773B4F" w:rsidRPr="009C3AC6">
        <w:rPr>
          <w:lang w:val="el-GR"/>
        </w:rPr>
        <w:t>ς</w:t>
      </w:r>
      <w:r w:rsidRPr="009C3AC6">
        <w:rPr>
          <w:lang w:val="el-GR"/>
        </w:rPr>
        <w:t xml:space="preserve"> </w:t>
      </w:r>
      <w:proofErr w:type="spellStart"/>
      <w:r w:rsidRPr="009C3AC6">
        <w:rPr>
          <w:lang w:val="el-GR"/>
        </w:rPr>
        <w:t>εμμονική</w:t>
      </w:r>
      <w:r w:rsidR="00773B4F" w:rsidRPr="009C3AC6">
        <w:rPr>
          <w:lang w:val="el-GR"/>
        </w:rPr>
        <w:t>ς</w:t>
      </w:r>
      <w:proofErr w:type="spellEnd"/>
      <w:r w:rsidRPr="009C3AC6">
        <w:rPr>
          <w:lang w:val="el-GR"/>
        </w:rPr>
        <w:t xml:space="preserve"> παρακολούθηση</w:t>
      </w:r>
      <w:r w:rsidR="00773B4F" w:rsidRPr="009C3AC6">
        <w:rPr>
          <w:lang w:val="el-GR"/>
        </w:rPr>
        <w:t>ς</w:t>
      </w:r>
      <w:r w:rsidRPr="009C3AC6">
        <w:rPr>
          <w:lang w:val="el-GR"/>
        </w:rPr>
        <w:t xml:space="preserve">, </w:t>
      </w:r>
      <w:r w:rsidR="00773B4F" w:rsidRPr="009C3AC6">
        <w:rPr>
          <w:lang w:val="el-GR"/>
        </w:rPr>
        <w:t>τ</w:t>
      </w:r>
      <w:r w:rsidRPr="009C3AC6">
        <w:rPr>
          <w:lang w:val="el-GR"/>
        </w:rPr>
        <w:t>η</w:t>
      </w:r>
      <w:r w:rsidR="00773B4F" w:rsidRPr="009C3AC6">
        <w:rPr>
          <w:lang w:val="el-GR"/>
        </w:rPr>
        <w:t>ς</w:t>
      </w:r>
      <w:r w:rsidRPr="009C3AC6">
        <w:rPr>
          <w:lang w:val="el-GR"/>
        </w:rPr>
        <w:t xml:space="preserve"> τεχνολογικά υποβοηθούμενη</w:t>
      </w:r>
      <w:r w:rsidR="00773B4F" w:rsidRPr="009C3AC6">
        <w:rPr>
          <w:lang w:val="el-GR"/>
        </w:rPr>
        <w:t>ς</w:t>
      </w:r>
      <w:r w:rsidRPr="009C3AC6">
        <w:rPr>
          <w:lang w:val="el-GR"/>
        </w:rPr>
        <w:t xml:space="preserve"> βία</w:t>
      </w:r>
      <w:r w:rsidR="00773B4F" w:rsidRPr="009C3AC6">
        <w:rPr>
          <w:lang w:val="el-GR"/>
        </w:rPr>
        <w:t>ς</w:t>
      </w:r>
      <w:r w:rsidRPr="009C3AC6">
        <w:rPr>
          <w:lang w:val="el-GR"/>
        </w:rPr>
        <w:t xml:space="preserve"> και </w:t>
      </w:r>
      <w:r w:rsidR="00773B4F" w:rsidRPr="009C3AC6">
        <w:rPr>
          <w:lang w:val="el-GR"/>
        </w:rPr>
        <w:t>τ</w:t>
      </w:r>
      <w:r w:rsidRPr="009C3AC6">
        <w:rPr>
          <w:lang w:val="el-GR"/>
        </w:rPr>
        <w:t>η</w:t>
      </w:r>
      <w:r w:rsidR="00773B4F" w:rsidRPr="009C3AC6">
        <w:rPr>
          <w:lang w:val="el-GR"/>
        </w:rPr>
        <w:t>ς</w:t>
      </w:r>
      <w:r w:rsidRPr="009C3AC6">
        <w:rPr>
          <w:lang w:val="el-GR"/>
        </w:rPr>
        <w:t xml:space="preserve"> εμπορία</w:t>
      </w:r>
      <w:r w:rsidR="00773B4F" w:rsidRPr="009C3AC6">
        <w:rPr>
          <w:lang w:val="el-GR"/>
        </w:rPr>
        <w:t>ς</w:t>
      </w:r>
      <w:r w:rsidRPr="009C3AC6">
        <w:rPr>
          <w:lang w:val="el-GR"/>
        </w:rPr>
        <w:t xml:space="preserve"> ανθρώπων. Η βία και η παρενόχληση από τρίτα πρόσωπα δεν περιορίζονται στη σφαίρα της συντροφικής σχέσης, αλλά συνιστούν μέρος του ίδιου συνεχούς έμφυλης βίας. Σύμφωνα με την έρευνα EU-GBV, το 20,2% των γυναικών στην ΕΕ-27 έχει βιώσει σωματική ή/και σεξουαλική βία από μη σύντροφο μετά την ηλικία των 15 ετών, ενώ το 30,8% των γυναικών που έχουν εργαστεί έχει βιώσει σεξουαλική παρενόχληση στον χώρο εργασίας κατά τη διάρκεια της εργασιακής του ζωής (FRA, EIGE, &amp; </w:t>
      </w:r>
      <w:proofErr w:type="spellStart"/>
      <w:r w:rsidRPr="009C3AC6">
        <w:rPr>
          <w:lang w:val="el-GR"/>
        </w:rPr>
        <w:t>Eurostat</w:t>
      </w:r>
      <w:proofErr w:type="spellEnd"/>
      <w:r w:rsidRPr="009C3AC6">
        <w:rPr>
          <w:lang w:val="el-GR"/>
        </w:rPr>
        <w:t>, 2024). Στους δείκτες αυτούς η Ελλάδα εμφανίζει εκτιμήσεις υψηλότερες από τον μέσο όρο της ΕΕ-27 (FRA &amp; EIGE, 2026). Η σεξουαλική παρενόχληση αναγνωρίζεται ως μορφή βίας κατά των γυναικών στο άρθρο 40 της Σύμβασης της Κωνσταντινούπολης (Council of Europe, 2011), ενώ η βία και η παρενόχληση στον κόσμο της εργασίας, συμπεριλαμβανομένης της έμφυλης βίας, αποτελούν αντικείμενο της Σύμβασης 190 της Διεθνούς Οργάνωσης Εργασίας (ILO, 2019), την οποία η Ελλάδα κύρωσε με τον Ν. 4808/2021</w:t>
      </w:r>
      <w:r w:rsidRPr="008A0211">
        <w:rPr>
          <w:lang w:val="el-GR"/>
        </w:rPr>
        <w:t>. Η τεχνολογικά υποβοηθούμενη βία περιλαμβάνει κάθε πράξη που διαπράττεται ή ενισχύεται μέσω τεχνολογιών πληροφορίας και επικοινωνίας και προκαλεί σωματική, σεξουαλική, ψυχολογική, κοινωνική ή οικονομική βλάβη, όπως η μ</w:t>
      </w:r>
      <w:r w:rsidRPr="009C3AC6">
        <w:rPr>
          <w:lang w:val="el-GR"/>
        </w:rPr>
        <w:t xml:space="preserve">η συναινετική διανομή οικείων </w:t>
      </w:r>
      <w:r>
        <w:rPr>
          <w:lang w:val="el-GR"/>
        </w:rPr>
        <w:t xml:space="preserve">εικόνων, η χρήση λογισμικού παρακολούθησης, ο εντοπισμός μέσω </w:t>
      </w:r>
      <w:r>
        <w:t>GPS</w:t>
      </w:r>
      <w:r>
        <w:rPr>
          <w:lang w:val="el-GR"/>
        </w:rPr>
        <w:t xml:space="preserve"> και ο έλεγχος της ψηφιακής επικοινωνίας (</w:t>
      </w:r>
      <w:r>
        <w:t>UN</w:t>
      </w:r>
      <w:r>
        <w:rPr>
          <w:lang w:val="el-GR"/>
        </w:rPr>
        <w:t xml:space="preserve"> </w:t>
      </w:r>
      <w:r>
        <w:t>Women</w:t>
      </w:r>
      <w:r>
        <w:rPr>
          <w:lang w:val="el-GR"/>
        </w:rPr>
        <w:t xml:space="preserve"> &amp; </w:t>
      </w:r>
      <w:r>
        <w:t>WHO</w:t>
      </w:r>
      <w:r>
        <w:rPr>
          <w:lang w:val="el-GR"/>
        </w:rPr>
        <w:t>, 2023·</w:t>
      </w:r>
      <w:r>
        <w:t>Woodlock</w:t>
      </w:r>
      <w:r>
        <w:rPr>
          <w:lang w:val="el-GR"/>
        </w:rPr>
        <w:t xml:space="preserve">, 2017). Η </w:t>
      </w:r>
      <w:proofErr w:type="spellStart"/>
      <w:r>
        <w:rPr>
          <w:lang w:val="el-GR"/>
        </w:rPr>
        <w:t>εμμονική</w:t>
      </w:r>
      <w:proofErr w:type="spellEnd"/>
      <w:r>
        <w:rPr>
          <w:lang w:val="el-GR"/>
        </w:rPr>
        <w:t xml:space="preserve"> παρακολούθηση (</w:t>
      </w:r>
      <w:r>
        <w:t>stalking</w:t>
      </w:r>
      <w:r>
        <w:rPr>
          <w:lang w:val="el-GR"/>
        </w:rPr>
        <w:t>) αφορά επαναλαμβανόμενες και ανεπιθύμητες συμπεριφορές παρακολούθησης ή παρενόχλησης που προκαλούν φόβο και σοβαρή διατάραξη της καθημερινότητας, συχνά μετά τη λήξη μιας σχέσης (</w:t>
      </w:r>
      <w:r>
        <w:t>Council</w:t>
      </w:r>
      <w:r>
        <w:rPr>
          <w:lang w:val="el-GR"/>
        </w:rPr>
        <w:t xml:space="preserve"> </w:t>
      </w:r>
      <w:r>
        <w:t>of</w:t>
      </w:r>
      <w:r>
        <w:rPr>
          <w:lang w:val="el-GR"/>
        </w:rPr>
        <w:t xml:space="preserve"> </w:t>
      </w:r>
      <w:r>
        <w:t>Europe</w:t>
      </w:r>
      <w:r>
        <w:rPr>
          <w:lang w:val="el-GR"/>
        </w:rPr>
        <w:t>, 2011). Η εμπορία ανθρώπων (</w:t>
      </w:r>
      <w:r>
        <w:t>trafficking</w:t>
      </w:r>
      <w:r>
        <w:rPr>
          <w:lang w:val="el-GR"/>
        </w:rPr>
        <w:t>) αφορά τη στρατολόγηση, τη μεταφορά, την υπόθαλψη ή την παραλαβή προσώπων με τη χρήση βίας, απειλής, εξαπάτησης ή κατάχρησης ευάλωτης θέσης, με σκοπό τη σεξουαλική ή εργασιακή εκμετάλλευση, τη δουλεία ή την αφαίρεση οργάνων (</w:t>
      </w:r>
      <w:r>
        <w:t>United</w:t>
      </w:r>
      <w:r>
        <w:rPr>
          <w:lang w:val="el-GR"/>
        </w:rPr>
        <w:t xml:space="preserve"> </w:t>
      </w:r>
      <w:r>
        <w:t>Nations</w:t>
      </w:r>
      <w:r>
        <w:rPr>
          <w:lang w:val="el-GR"/>
        </w:rPr>
        <w:t>, 2000).</w:t>
      </w:r>
    </w:p>
    <w:p w14:paraId="7EB9AA67" w14:textId="77777777" w:rsidR="00E63D5B" w:rsidRPr="00132066" w:rsidRDefault="001F059D">
      <w:pPr>
        <w:rPr>
          <w:lang w:val="el-GR"/>
        </w:rPr>
      </w:pPr>
      <w:r>
        <w:rPr>
          <w:lang w:val="el-GR"/>
        </w:rPr>
        <w:t xml:space="preserve">Τέλος, </w:t>
      </w:r>
      <w:r>
        <w:rPr>
          <w:b/>
          <w:bCs/>
          <w:lang w:val="el-GR"/>
        </w:rPr>
        <w:t>η βία που ασκείται ή γίνεται ανεκτή από το κράτος</w:t>
      </w:r>
      <w:r>
        <w:rPr>
          <w:lang w:val="el-GR"/>
        </w:rPr>
        <w:t xml:space="preserve"> περιλαμβάνει άμεσες πράξεις βίας από κρατικά όργανα, νομοθετικές ή διοικητικές πολιτικές που παραβιάζουν τα δικαιώματα των γυναικών, καθώς και την παράλειψη πρόληψης, διερεύνησης και αποτελεσματικής αντιμετώπισης της έμφυλης βίας (</w:t>
      </w:r>
      <w:r>
        <w:t>United</w:t>
      </w:r>
      <w:r>
        <w:rPr>
          <w:lang w:val="el-GR"/>
        </w:rPr>
        <w:t xml:space="preserve"> </w:t>
      </w:r>
      <w:r>
        <w:t>Nations</w:t>
      </w:r>
      <w:r>
        <w:rPr>
          <w:lang w:val="el-GR"/>
        </w:rPr>
        <w:t xml:space="preserve"> </w:t>
      </w:r>
      <w:r>
        <w:t>General</w:t>
      </w:r>
      <w:r>
        <w:rPr>
          <w:lang w:val="el-GR"/>
        </w:rPr>
        <w:t xml:space="preserve"> </w:t>
      </w:r>
      <w:r>
        <w:t>Assembly</w:t>
      </w:r>
      <w:r>
        <w:rPr>
          <w:lang w:val="el-GR"/>
        </w:rPr>
        <w:t xml:space="preserve">, 2006). Η ανεπαρκής εφαρμογή της νομοθεσίας, η ελλιπής προστασία και η δευτερογενής </w:t>
      </w:r>
      <w:proofErr w:type="spellStart"/>
      <w:r>
        <w:rPr>
          <w:lang w:val="el-GR"/>
        </w:rPr>
        <w:t>θυματοποίηση</w:t>
      </w:r>
      <w:proofErr w:type="spellEnd"/>
      <w:r>
        <w:rPr>
          <w:lang w:val="el-GR"/>
        </w:rPr>
        <w:t xml:space="preserve"> από τις υπηρεσίες μπορούν, επομένως, να συμβάλουν στη διαιώνιση της βίας ακόμη και όταν υπάρχει τυπικά προστατευτικό θεσμικό πλαίσιο (</w:t>
      </w:r>
      <w:r>
        <w:t>GREVIO</w:t>
      </w:r>
      <w:r>
        <w:rPr>
          <w:lang w:val="el-GR"/>
        </w:rPr>
        <w:t>, 2023).</w:t>
      </w:r>
    </w:p>
    <w:p w14:paraId="33CB2359" w14:textId="77777777" w:rsidR="00E63D5B" w:rsidRPr="00132066" w:rsidRDefault="00521C66">
      <w:pPr>
        <w:rPr>
          <w:lang w:val="el-GR"/>
        </w:rPr>
      </w:pPr>
      <w:r>
        <w:rPr>
          <w:lang w:val="el-GR"/>
        </w:rPr>
        <w:t>Τα παραπάνω είδη και μορφές βίας συχνά αλληλεπικαλύπτονται και λειτουργούν ως στοιχεία ενός ευρύτερου καθεστώτος εξαναγκαστικού ελέγχου. Ο εξαναγκαστικός έλεγχος αναφέρεται σε ένα επαναλαμβανόμενο σύστημα απομόνωσης, επιτήρησης, υποτίμησης, απειλών και ελέγχου των χρημάτων, της εργασίας, των μετακινήσεων και των κοινωνικών σχέσεων, μέσω του οποίου περιορίζονται σταδιακά η αυτονομία και η ελευθερία δράσης των γυναικών (</w:t>
      </w:r>
      <w:r>
        <w:t>Stark</w:t>
      </w:r>
      <w:r>
        <w:rPr>
          <w:lang w:val="el-GR"/>
        </w:rPr>
        <w:t>, 2007·</w:t>
      </w:r>
      <w:r>
        <w:t>Walby</w:t>
      </w:r>
      <w:r>
        <w:rPr>
          <w:lang w:val="el-GR"/>
        </w:rPr>
        <w:t xml:space="preserve"> &amp; </w:t>
      </w:r>
      <w:r>
        <w:t>Towers</w:t>
      </w:r>
      <w:r>
        <w:rPr>
          <w:lang w:val="el-GR"/>
        </w:rPr>
        <w:t xml:space="preserve">, 2018). Δεν προϋποθέτει σωματική βία και μπορεί να συνεχίζεται ή να εντείνεται μετά τον χωρισμό, μεταξύ άλλων μέσω ψηφιακής παρακολούθησης, οικονομικής πίεσης και </w:t>
      </w:r>
      <w:proofErr w:type="spellStart"/>
      <w:r>
        <w:rPr>
          <w:lang w:val="el-GR"/>
        </w:rPr>
        <w:t>εργαλειοποίησης</w:t>
      </w:r>
      <w:proofErr w:type="spellEnd"/>
      <w:r>
        <w:rPr>
          <w:lang w:val="el-GR"/>
        </w:rPr>
        <w:t xml:space="preserve"> των παιδιών.</w:t>
      </w:r>
    </w:p>
    <w:p w14:paraId="1317DB30" w14:textId="77777777" w:rsidR="00E63D5B" w:rsidRPr="00132066" w:rsidRDefault="001F059D">
      <w:pPr>
        <w:pStyle w:val="20"/>
        <w:rPr>
          <w:lang w:val="el-GR"/>
        </w:rPr>
      </w:pPr>
      <w:bookmarkStart w:id="9" w:name="_Toc242134414"/>
      <w:r>
        <w:rPr>
          <w:lang w:val="el-GR"/>
        </w:rPr>
        <w:lastRenderedPageBreak/>
        <w:t>2.2 Η έκταση του φαινομένου</w:t>
      </w:r>
      <w:bookmarkEnd w:id="9"/>
    </w:p>
    <w:p w14:paraId="1540695A" w14:textId="4215C180" w:rsidR="00E63D5B" w:rsidRPr="00132066" w:rsidRDefault="001F059D">
      <w:pPr>
        <w:rPr>
          <w:lang w:val="el-GR"/>
        </w:rPr>
      </w:pPr>
      <w:r>
        <w:rPr>
          <w:lang w:val="el-GR"/>
        </w:rPr>
        <w:t>Οι εκτιμήσεις του Παγκόσμιου Οργανισμού Υγείας, βασισμένες σε δεδομένα από 168 χώρες και περιοχές για την περίοδο 2000–2023, δείχνουν ότι το 31,6% των γυναικών παγκοσμίως έχει βιώσει σωματική ή/και σεξουαλική βία από σύντροφο ή σεξουαλική βία από μη σύντροφο. Μεταξύ των γυναικών που έχουν υπάρξει σε συντροφική σχέση, περίπου μία στις τέσσερις (24,7%) έχει υποστεί σωματική ή/και σεξουαλική βία από σύντροφο κατά τη διάρκεια της ζωής της, ενώ περίπου 11% τη βίωσε κατά το προηγούμενο έτος (</w:t>
      </w:r>
      <w:r>
        <w:t>WHO</w:t>
      </w:r>
      <w:r>
        <w:rPr>
          <w:lang w:val="el-GR"/>
        </w:rPr>
        <w:t>, 2025). Παρά την αυξανόμενη θεσμική αναγνώριση του φαινομένου, η πρόοδος παραμένει εξαιρετικά αργή, καθώς η μέση ετήσια μείωση της επικράτησης κατά τις τελευταίες δύο δεκαετίες δεν υπερέβη το 0,2% (</w:t>
      </w:r>
      <w:r>
        <w:t>Sardinha</w:t>
      </w:r>
      <w:r>
        <w:rPr>
          <w:lang w:val="el-GR"/>
        </w:rPr>
        <w:t xml:space="preserve"> </w:t>
      </w:r>
      <w:r>
        <w:t>et</w:t>
      </w:r>
      <w:r>
        <w:rPr>
          <w:lang w:val="el-GR"/>
        </w:rPr>
        <w:t xml:space="preserve"> </w:t>
      </w:r>
      <w:r>
        <w:t>al</w:t>
      </w:r>
      <w:r>
        <w:rPr>
          <w:lang w:val="el-GR"/>
        </w:rPr>
        <w:t xml:space="preserve">., 2022· </w:t>
      </w:r>
      <w:r>
        <w:t>WHO</w:t>
      </w:r>
      <w:r>
        <w:rPr>
          <w:lang w:val="el-GR"/>
        </w:rPr>
        <w:t xml:space="preserve">, 2021). Σε ευρωπαϊκό επίπεδο, η </w:t>
      </w:r>
      <w:r>
        <w:t>EU</w:t>
      </w:r>
      <w:r>
        <w:rPr>
          <w:lang w:val="el-GR"/>
        </w:rPr>
        <w:t xml:space="preserve"> </w:t>
      </w:r>
      <w:r>
        <w:t>Gender</w:t>
      </w:r>
      <w:r>
        <w:rPr>
          <w:lang w:val="el-GR"/>
        </w:rPr>
        <w:t>-</w:t>
      </w:r>
      <w:r>
        <w:t>Based</w:t>
      </w:r>
      <w:r>
        <w:rPr>
          <w:lang w:val="el-GR"/>
        </w:rPr>
        <w:t xml:space="preserve"> </w:t>
      </w:r>
      <w:r>
        <w:t>Violence</w:t>
      </w:r>
      <w:r>
        <w:rPr>
          <w:lang w:val="el-GR"/>
        </w:rPr>
        <w:t xml:space="preserve"> </w:t>
      </w:r>
      <w:r>
        <w:t>Survey</w:t>
      </w:r>
      <w:r>
        <w:rPr>
          <w:lang w:val="el-GR"/>
        </w:rPr>
        <w:t xml:space="preserve"> καταγράφει ότι το 19,3% των γυναικών έχει βιώσει σωματική βία από δράστη του οικογενειακού περιβάλλοντος, ενώ το 10,7% αναφέρει σωματική βία και το 6,9% βιασμό από σύντροφο (</w:t>
      </w:r>
      <w:r>
        <w:t>FRA</w:t>
      </w:r>
      <w:r>
        <w:rPr>
          <w:lang w:val="el-GR"/>
        </w:rPr>
        <w:t xml:space="preserve"> &amp; </w:t>
      </w:r>
      <w:r>
        <w:t>EIGE</w:t>
      </w:r>
      <w:r>
        <w:rPr>
          <w:lang w:val="el-GR"/>
        </w:rPr>
        <w:t>, 2026).</w:t>
      </w:r>
    </w:p>
    <w:p w14:paraId="63165BEA" w14:textId="77777777" w:rsidR="00E63D5B" w:rsidRPr="00132066" w:rsidRDefault="001F059D">
      <w:pPr>
        <w:rPr>
          <w:lang w:val="el-GR"/>
        </w:rPr>
      </w:pPr>
      <w:r>
        <w:rPr>
          <w:lang w:val="el-GR"/>
        </w:rPr>
        <w:t xml:space="preserve">Η συντροφική βία αποτελεί κατεξοχήν </w:t>
      </w:r>
      <w:proofErr w:type="spellStart"/>
      <w:r>
        <w:rPr>
          <w:lang w:val="el-GR"/>
        </w:rPr>
        <w:t>έμφυλο</w:t>
      </w:r>
      <w:proofErr w:type="spellEnd"/>
      <w:r>
        <w:rPr>
          <w:lang w:val="el-GR"/>
        </w:rPr>
        <w:t xml:space="preserve"> φαινόμενο. Παρότι βία μπορεί να εμφανιστεί σε διαφορετικές σχέσεις και πληθυσμούς, οι σοβαρές, επαναλαμβανόμενες και θανατηφόρες μορφές πλήττουν δυσανάλογα τις γυναίκες, ιδίως όταν συνεκτιμώνται η συχνότητα, η σοβαρότητα, η συνύπαρξη πολλαπλών μορφών κακοποίησης και οι συνέπειές τους (</w:t>
      </w:r>
      <w:r>
        <w:t>Fanslow</w:t>
      </w:r>
      <w:r>
        <w:rPr>
          <w:lang w:val="el-GR"/>
        </w:rPr>
        <w:t xml:space="preserve"> </w:t>
      </w:r>
      <w:r>
        <w:t>et</w:t>
      </w:r>
      <w:r>
        <w:rPr>
          <w:lang w:val="el-GR"/>
        </w:rPr>
        <w:t xml:space="preserve"> </w:t>
      </w:r>
      <w:r>
        <w:t>al</w:t>
      </w:r>
      <w:r>
        <w:rPr>
          <w:lang w:val="el-GR"/>
        </w:rPr>
        <w:t>., 2023). Σε ευρωπαϊκό επίπεδο, έχει εκτιμηθεί ότι στο 83% των περιστατικών συντροφικής βίας οι γυναίκες είναι τα θύματα και οι άνδρες οι δράστες (</w:t>
      </w:r>
      <w:proofErr w:type="spellStart"/>
      <w:r>
        <w:rPr>
          <w:lang w:val="el-GR"/>
        </w:rPr>
        <w:t>Γιωτάκος</w:t>
      </w:r>
      <w:proofErr w:type="spellEnd"/>
      <w:r>
        <w:rPr>
          <w:lang w:val="el-GR"/>
        </w:rPr>
        <w:t>, 2006). Αντίστοιχα, στις Ηνωμένες Πολιτείες, το 92% των γυναικών που δολοφονήθηκαν από άνδρες το 2018 γνώριζαν τον δράστη, και από αυτές το 63% ήταν σύζυγοι ή σύντροφοί του (</w:t>
      </w:r>
      <w:r>
        <w:t>Violence</w:t>
      </w:r>
      <w:r w:rsidRPr="000B7AA5">
        <w:rPr>
          <w:lang w:val="el-GR"/>
        </w:rPr>
        <w:t xml:space="preserve"> </w:t>
      </w:r>
      <w:r>
        <w:t>Policy</w:t>
      </w:r>
      <w:r w:rsidRPr="000B7AA5">
        <w:rPr>
          <w:lang w:val="el-GR"/>
        </w:rPr>
        <w:t xml:space="preserve"> </w:t>
      </w:r>
      <w:r>
        <w:t>Center</w:t>
      </w:r>
      <w:r w:rsidRPr="000B7AA5">
        <w:rPr>
          <w:lang w:val="el-GR"/>
        </w:rPr>
        <w:t>, 2020)</w:t>
      </w:r>
      <w:r>
        <w:rPr>
          <w:lang w:val="el-GR"/>
        </w:rPr>
        <w:t>. Τα ευρήματα αυτά υπογραμμίζουν τη συστηματική έμφυλη ασυμμετρία που χαρακτηρίζει ιδιαίτερα τις σοβαρές, επαναλαμβανόμενες και θανατηφόρες μορφές συντροφικής βίας. Η έμφυλη ασυμμετρία καθίσταται ιδιαίτερα εμφανής στη θανατηφόρα βία: παγκόσμια συστηματική ανασκόπηση έδειξε ότι περισσότερο από το ένα τρίτο των ανθρωποκτονιών γυναικών διαπράττεται από νυν ή πρώην σύντροφο, με την αναλογία να είναι περίπου εξαπλάσια σε σύγκριση με τις ανθρωποκτονίες ανδρών (</w:t>
      </w:r>
      <w:r>
        <w:t>St</w:t>
      </w:r>
      <w:r>
        <w:rPr>
          <w:lang w:val="el-GR"/>
        </w:rPr>
        <w:t>ö</w:t>
      </w:r>
      <w:proofErr w:type="spellStart"/>
      <w:r>
        <w:t>ckl</w:t>
      </w:r>
      <w:proofErr w:type="spellEnd"/>
      <w:r>
        <w:rPr>
          <w:lang w:val="el-GR"/>
        </w:rPr>
        <w:t xml:space="preserve"> </w:t>
      </w:r>
      <w:r>
        <w:t>et</w:t>
      </w:r>
      <w:r>
        <w:rPr>
          <w:lang w:val="el-GR"/>
        </w:rPr>
        <w:t xml:space="preserve"> </w:t>
      </w:r>
      <w:r>
        <w:t>al</w:t>
      </w:r>
      <w:r>
        <w:rPr>
          <w:lang w:val="el-GR"/>
        </w:rPr>
        <w:t>., 2013). Αντίστοιχα, εκτιμάται ότι περίπου 50.000 γυναίκες και κορίτσια δολοφονήθηκαν το 2024 από σύντροφο ή άλλο μέλος της οικογένειάς τους (</w:t>
      </w:r>
      <w:r>
        <w:t>UN</w:t>
      </w:r>
      <w:r>
        <w:rPr>
          <w:lang w:val="el-GR"/>
        </w:rPr>
        <w:t xml:space="preserve"> </w:t>
      </w:r>
      <w:r>
        <w:t>Women</w:t>
      </w:r>
      <w:r>
        <w:rPr>
          <w:lang w:val="el-GR"/>
        </w:rPr>
        <w:t xml:space="preserve"> &amp; </w:t>
      </w:r>
      <w:r>
        <w:t>UNODC</w:t>
      </w:r>
      <w:r>
        <w:rPr>
          <w:lang w:val="el-GR"/>
        </w:rPr>
        <w:t>, 2025).</w:t>
      </w:r>
    </w:p>
    <w:p w14:paraId="6BD0FF04" w14:textId="77777777" w:rsidR="00E63D5B" w:rsidRPr="00132066" w:rsidRDefault="001F059D">
      <w:pPr>
        <w:rPr>
          <w:lang w:val="el-GR"/>
        </w:rPr>
      </w:pPr>
      <w:r>
        <w:rPr>
          <w:lang w:val="el-GR"/>
        </w:rPr>
        <w:t>Στο ελληνικό σκέλος της ίδιας έρευνας συμμετείχαν 11.557 γυναίκες 18–74 ετών, ένα από τα μεγαλύτερα εθνικά δείγματα. Περίπου 18% των γυναικών ανέφεραν σωματική βία ή απειλές και 7,3% σεξουαλική βία από δράστη του οικογενειακού περιβάλλοντος, ενώ περίπου 22% είχαν βιώσει σωματική ή/και σεξουαλική συντροφική βία, ποσοστό υψηλότερο από τον μέσο όρο της ΕΕ (18%) (</w:t>
      </w:r>
      <w:r>
        <w:t>FRA</w:t>
      </w:r>
      <w:r>
        <w:rPr>
          <w:lang w:val="el-GR"/>
        </w:rPr>
        <w:t xml:space="preserve"> &amp; </w:t>
      </w:r>
      <w:r>
        <w:t>EIGE</w:t>
      </w:r>
      <w:r>
        <w:rPr>
          <w:lang w:val="el-GR"/>
        </w:rPr>
        <w:t>, 2026·</w:t>
      </w:r>
      <w:r>
        <w:t>FRA</w:t>
      </w:r>
      <w:r>
        <w:rPr>
          <w:lang w:val="el-GR"/>
        </w:rPr>
        <w:t xml:space="preserve">, </w:t>
      </w:r>
      <w:r>
        <w:t>EIGE</w:t>
      </w:r>
      <w:r>
        <w:rPr>
          <w:lang w:val="el-GR"/>
        </w:rPr>
        <w:t xml:space="preserve">, &amp; </w:t>
      </w:r>
      <w:r>
        <w:t>Eurostat</w:t>
      </w:r>
      <w:r>
        <w:rPr>
          <w:lang w:val="el-GR"/>
        </w:rPr>
        <w:t xml:space="preserve">, 2024). Στον Δείκτη Ισότητας των Φύλων 2024 του </w:t>
      </w:r>
      <w:r>
        <w:t>EIGE</w:t>
      </w:r>
      <w:r>
        <w:rPr>
          <w:lang w:val="el-GR"/>
        </w:rPr>
        <w:t>, στον τομέα της έμφυλης βίας, το 37% των γυναικών στην Ελλάδα έχει βιώσει σωματική ή/και σεξουαλική βία από οποιονδήποτε δράστη μετά την ηλικία των 15 ετών (6 μονάδες πάνω από τον ευρωπαϊκό μέσο όρο), ενώ το 52% όσων υπέστησαν βία αντιμετώπισε σοβαρές επιπτώσεις στην υγεία τους (</w:t>
      </w:r>
      <w:r>
        <w:t>EIGE</w:t>
      </w:r>
      <w:r>
        <w:rPr>
          <w:lang w:val="el-GR"/>
        </w:rPr>
        <w:t>, 2025a). Παράλληλα, οι καταγγελίες στην Ελληνική Αστυνομία παρουσιάζουν κατακόρυφη αύξηση τα τελευταία έτη (Ελληνική Αστυνομία [ΕΛ.ΑΣ.], 2026), γεγονός που αντανακλά περισσότερο την αυξημένη γνωστοποίηση παρά την αύξηση της βίας.</w:t>
      </w:r>
    </w:p>
    <w:p w14:paraId="4BD42294" w14:textId="77777777" w:rsidR="00E63D5B" w:rsidRPr="00132066" w:rsidRDefault="001F059D">
      <w:pPr>
        <w:rPr>
          <w:lang w:val="el-GR"/>
        </w:rPr>
      </w:pPr>
      <w:r>
        <w:rPr>
          <w:lang w:val="el-GR"/>
        </w:rPr>
        <w:t xml:space="preserve">Τα παιδιά αποτελούν συχνά άμεσα ή έμμεσα θύματα της ενδοοικογενειακής βίας. Σύμφωνα με πρόσφατη εκτίμηση της </w:t>
      </w:r>
      <w:r>
        <w:t>UNICEF</w:t>
      </w:r>
      <w:r>
        <w:rPr>
          <w:lang w:val="el-GR"/>
        </w:rPr>
        <w:t>, εκατοντάδες εκατομμύρια παιδιά παγκοσμίως ζουν με μητέρα που έχει βιώσει πρόσφατα συντροφική βία (</w:t>
      </w:r>
      <w:r>
        <w:t>United</w:t>
      </w:r>
      <w:r>
        <w:rPr>
          <w:lang w:val="el-GR"/>
        </w:rPr>
        <w:t xml:space="preserve"> </w:t>
      </w:r>
      <w:r>
        <w:t>Nations</w:t>
      </w:r>
      <w:r>
        <w:rPr>
          <w:lang w:val="el-GR"/>
        </w:rPr>
        <w:t xml:space="preserve"> </w:t>
      </w:r>
      <w:r>
        <w:t>Children</w:t>
      </w:r>
      <w:r>
        <w:rPr>
          <w:lang w:val="el-GR"/>
        </w:rPr>
        <w:t>’</w:t>
      </w:r>
      <w:r>
        <w:t>s</w:t>
      </w:r>
      <w:r>
        <w:rPr>
          <w:lang w:val="el-GR"/>
        </w:rPr>
        <w:t xml:space="preserve"> </w:t>
      </w:r>
      <w:r>
        <w:t>Fund</w:t>
      </w:r>
      <w:r>
        <w:rPr>
          <w:lang w:val="el-GR"/>
        </w:rPr>
        <w:t xml:space="preserve"> [</w:t>
      </w:r>
      <w:r>
        <w:t>UNICEF</w:t>
      </w:r>
      <w:r>
        <w:rPr>
          <w:lang w:val="el-GR"/>
        </w:rPr>
        <w:t xml:space="preserve">], 2025). Η έκθεση των παιδιών δεν περιορίζεται στην οπτική παρακολούθηση ενός βίαιου επεισοδίου, αλλά περιλαμβάνει την ακρόαση της βίας, την παρέμβαση για την προστασία της μητέρας, την παρατήρηση τραυματισμών ή καταστροφών, τη διαβίωση σε κλίμα φόβου και επιτήρησης, την </w:t>
      </w:r>
      <w:proofErr w:type="spellStart"/>
      <w:r>
        <w:rPr>
          <w:lang w:val="el-GR"/>
        </w:rPr>
        <w:t>εργαλειοποίησή</w:t>
      </w:r>
      <w:proofErr w:type="spellEnd"/>
      <w:r>
        <w:rPr>
          <w:lang w:val="el-GR"/>
        </w:rPr>
        <w:t xml:space="preserve"> </w:t>
      </w:r>
      <w:r>
        <w:rPr>
          <w:lang w:val="el-GR"/>
        </w:rPr>
        <w:lastRenderedPageBreak/>
        <w:t>τους ως αγγελιοφόρων ή πληροφοριοδοτών και τις ευρύτερες συνέπειες της βίας στη γονεϊκή διαθεσιμότητα και στους πόρους της οικογένειας. Επιπλέον, η έκθεση στη συντροφική βία συνυπάρχει συχνά με άμεση κακοποίηση του παιδιού, γεγονός που δυσχεραίνει τη διάκριση των επιμέρους επιδράσεων (</w:t>
      </w:r>
      <w:r>
        <w:t>Hamby</w:t>
      </w:r>
      <w:r>
        <w:rPr>
          <w:lang w:val="el-GR"/>
        </w:rPr>
        <w:t xml:space="preserve"> </w:t>
      </w:r>
      <w:r>
        <w:t>et</w:t>
      </w:r>
      <w:r>
        <w:rPr>
          <w:lang w:val="el-GR"/>
        </w:rPr>
        <w:t xml:space="preserve"> </w:t>
      </w:r>
      <w:r>
        <w:t>al</w:t>
      </w:r>
      <w:r>
        <w:rPr>
          <w:lang w:val="el-GR"/>
        </w:rPr>
        <w:t>., 2010·</w:t>
      </w:r>
      <w:r>
        <w:t>UNICEF</w:t>
      </w:r>
      <w:r>
        <w:rPr>
          <w:lang w:val="el-GR"/>
        </w:rPr>
        <w:t>, 2006).</w:t>
      </w:r>
    </w:p>
    <w:p w14:paraId="243F77C9" w14:textId="77777777" w:rsidR="00E63D5B" w:rsidRPr="00132066" w:rsidRDefault="001F059D">
      <w:pPr>
        <w:rPr>
          <w:lang w:val="el-GR"/>
        </w:rPr>
      </w:pPr>
      <w:r>
        <w:rPr>
          <w:lang w:val="el-GR"/>
        </w:rPr>
        <w:t>Στην Ελλάδα, η επιδημιολογική καταγραφή της έκθεσης των παιδιών παραμένει αποσπασματική. Η πανελλαδική έρευνα του 2003 κατέγραψε την παρουσία παιδιών στο 28,4% των περιστατικών βίας (</w:t>
      </w:r>
      <w:proofErr w:type="spellStart"/>
      <w:r>
        <w:rPr>
          <w:lang w:val="el-GR"/>
        </w:rPr>
        <w:t>Φαρσεδάκης</w:t>
      </w:r>
      <w:proofErr w:type="spellEnd"/>
      <w:r>
        <w:rPr>
          <w:lang w:val="el-GR"/>
        </w:rPr>
        <w:t xml:space="preserve"> και συν., 2003), ενώ τα στοιχεία της Ελληνικής Αστυνομίας για το 2022 καταγράφουν τα τέκνα ως άμεσα θύματα στο 14,5% των καταγγελλόμενων περιστατικών (Γενική Γραμματεία Ισότητας και Ανθρωπίνων Δικαιωμάτων [ΓΓΙΑΔ], 2023). Ο τελευταίος δείκτης, ωστόσο, αφορά αποκλειστικά τις περιπτώσεις στις οποίες το παιδί αναγνωρίζεται ως άμεσο θύμα αξιόποινης πράξης και δεν αποτυπώνει την έκθεσή του ως μάρτυρα της βίας μεταξύ των γονέων. Κατά συνέπεια, τα διοικητικά δεδομένα είναι πιθανό να υποεκτιμούν σημαντικά την πραγματική έκταση της παιδικής έκθεσης στην ενδοοικογενειακή βία. </w:t>
      </w:r>
    </w:p>
    <w:p w14:paraId="31E322B3" w14:textId="77777777" w:rsidR="00E63D5B" w:rsidRPr="00132066" w:rsidRDefault="001F059D">
      <w:pPr>
        <w:pStyle w:val="20"/>
        <w:rPr>
          <w:lang w:val="el-GR"/>
        </w:rPr>
      </w:pPr>
      <w:bookmarkStart w:id="10" w:name="_Toc242134415"/>
      <w:r>
        <w:rPr>
          <w:lang w:val="el-GR"/>
        </w:rPr>
        <w:t>2.3 Παράγοντες κινδύνου</w:t>
      </w:r>
      <w:bookmarkEnd w:id="10"/>
    </w:p>
    <w:p w14:paraId="71B70E35" w14:textId="77777777" w:rsidR="00E63D5B" w:rsidRPr="00132066" w:rsidRDefault="001F059D">
      <w:pPr>
        <w:rPr>
          <w:lang w:val="el-GR"/>
        </w:rPr>
      </w:pPr>
      <w:r>
        <w:rPr>
          <w:lang w:val="el-GR"/>
        </w:rPr>
        <w:t>Η βιβλιογραφία οργανώνει τους παράγοντες κινδύνου σε πολλαπλά επίπεδα, σύμφωνα με το μοντέλο «δυναμικών αναπτυξιακών συστημάτων» (</w:t>
      </w:r>
      <w:r>
        <w:t>Capaldi</w:t>
      </w:r>
      <w:r>
        <w:rPr>
          <w:lang w:val="el-GR"/>
        </w:rPr>
        <w:t xml:space="preserve"> </w:t>
      </w:r>
      <w:r>
        <w:t>et</w:t>
      </w:r>
      <w:r>
        <w:rPr>
          <w:lang w:val="el-GR"/>
        </w:rPr>
        <w:t xml:space="preserve"> </w:t>
      </w:r>
      <w:r>
        <w:t>al</w:t>
      </w:r>
      <w:r>
        <w:rPr>
          <w:lang w:val="el-GR"/>
        </w:rPr>
        <w:t xml:space="preserve">., 2012): δομικούς και </w:t>
      </w:r>
      <w:proofErr w:type="spellStart"/>
      <w:r>
        <w:rPr>
          <w:lang w:val="el-GR"/>
        </w:rPr>
        <w:t>κοινωνικοδημογραφικούς</w:t>
      </w:r>
      <w:proofErr w:type="spellEnd"/>
      <w:r>
        <w:rPr>
          <w:lang w:val="el-GR"/>
        </w:rPr>
        <w:t xml:space="preserve"> (φτώχεια, ανεργία, κοινωνικές νόρμες που νομιμοποιούν την ανδρική κυριαρχία), αναπτυξιακούς και ατομικούς (κακοποίηση στην παιδική ηλικία, δυσλειτουργικές οικογενειακές συνθήκες, προβλήματα συμπεριφοράς στην εφηβεία, χρήση ουσιών) και σχεσιακούς (δυναμική και καθεστώς της σχέσης) (</w:t>
      </w:r>
      <w:r>
        <w:t>Abramsky</w:t>
      </w:r>
      <w:r>
        <w:rPr>
          <w:lang w:val="el-GR"/>
        </w:rPr>
        <w:t xml:space="preserve"> </w:t>
      </w:r>
      <w:r>
        <w:t>et</w:t>
      </w:r>
      <w:r>
        <w:rPr>
          <w:lang w:val="el-GR"/>
        </w:rPr>
        <w:t xml:space="preserve"> </w:t>
      </w:r>
      <w:r>
        <w:t>al</w:t>
      </w:r>
      <w:r>
        <w:rPr>
          <w:lang w:val="el-GR"/>
        </w:rPr>
        <w:t>., 2011·</w:t>
      </w:r>
      <w:r>
        <w:t>Capaldi</w:t>
      </w:r>
      <w:r>
        <w:rPr>
          <w:lang w:val="el-GR"/>
        </w:rPr>
        <w:t xml:space="preserve"> </w:t>
      </w:r>
      <w:r>
        <w:t>et</w:t>
      </w:r>
      <w:r>
        <w:rPr>
          <w:lang w:val="el-GR"/>
        </w:rPr>
        <w:t xml:space="preserve"> </w:t>
      </w:r>
      <w:r>
        <w:t>al</w:t>
      </w:r>
      <w:r>
        <w:rPr>
          <w:lang w:val="el-GR"/>
        </w:rPr>
        <w:t>., 2012·</w:t>
      </w:r>
      <w:proofErr w:type="spellStart"/>
      <w:r>
        <w:t>Papadakaki</w:t>
      </w:r>
      <w:proofErr w:type="spellEnd"/>
      <w:r>
        <w:rPr>
          <w:lang w:val="el-GR"/>
        </w:rPr>
        <w:t xml:space="preserve"> </w:t>
      </w:r>
      <w:r>
        <w:t>et</w:t>
      </w:r>
      <w:r>
        <w:rPr>
          <w:lang w:val="el-GR"/>
        </w:rPr>
        <w:t xml:space="preserve"> </w:t>
      </w:r>
      <w:r>
        <w:t>al</w:t>
      </w:r>
      <w:r>
        <w:rPr>
          <w:lang w:val="el-GR"/>
        </w:rPr>
        <w:t xml:space="preserve">., 2009). Ιδιαίτερα σταθερό εύρημα είναι ότι οι γυναίκες σε διάσταση ή διαζευγμένες εμφανίζουν σημαντικά αυξημένο κίνδυνο </w:t>
      </w:r>
      <w:proofErr w:type="spellStart"/>
      <w:r>
        <w:rPr>
          <w:lang w:val="el-GR"/>
        </w:rPr>
        <w:t>θυματοποίησης</w:t>
      </w:r>
      <w:proofErr w:type="spellEnd"/>
      <w:r>
        <w:rPr>
          <w:lang w:val="el-GR"/>
        </w:rPr>
        <w:t xml:space="preserve"> σε σχέση με τις έγγαμες (</w:t>
      </w:r>
      <w:r>
        <w:t>Abramsky</w:t>
      </w:r>
      <w:r>
        <w:rPr>
          <w:lang w:val="el-GR"/>
        </w:rPr>
        <w:t xml:space="preserve"> </w:t>
      </w:r>
      <w:r>
        <w:t>et</w:t>
      </w:r>
      <w:r>
        <w:rPr>
          <w:lang w:val="el-GR"/>
        </w:rPr>
        <w:t xml:space="preserve"> </w:t>
      </w:r>
      <w:r>
        <w:t>al</w:t>
      </w:r>
      <w:r>
        <w:rPr>
          <w:lang w:val="el-GR"/>
        </w:rPr>
        <w:t>., 2011·</w:t>
      </w:r>
      <w:r>
        <w:t>Capaldi</w:t>
      </w:r>
      <w:r>
        <w:rPr>
          <w:lang w:val="el-GR"/>
        </w:rPr>
        <w:t xml:space="preserve"> </w:t>
      </w:r>
      <w:r>
        <w:t>et</w:t>
      </w:r>
      <w:r>
        <w:rPr>
          <w:lang w:val="el-GR"/>
        </w:rPr>
        <w:t xml:space="preserve"> </w:t>
      </w:r>
      <w:r>
        <w:t>al</w:t>
      </w:r>
      <w:r>
        <w:rPr>
          <w:lang w:val="el-GR"/>
        </w:rPr>
        <w:t>., 2012), γεγονός που υπενθυμίζει ότι ο κίνδυνος δεν εξαλείφεται με τη λήξη της σχέσης αλλά μπορεί να παραμένει αυξημένος ακριβώς στη φάση του χωρισμού.</w:t>
      </w:r>
    </w:p>
    <w:p w14:paraId="16A8F7A6" w14:textId="77777777" w:rsidR="00E63D5B" w:rsidRPr="00132066" w:rsidRDefault="001F059D">
      <w:pPr>
        <w:rPr>
          <w:lang w:val="el-GR"/>
        </w:rPr>
      </w:pPr>
      <w:r>
        <w:rPr>
          <w:lang w:val="el-GR"/>
        </w:rPr>
        <w:t xml:space="preserve">Οι κοινωνικές κρίσεις μπορούν να εντείνουν </w:t>
      </w:r>
      <w:proofErr w:type="spellStart"/>
      <w:r>
        <w:rPr>
          <w:lang w:val="el-GR"/>
        </w:rPr>
        <w:t>προϋπάρχοντες</w:t>
      </w:r>
      <w:proofErr w:type="spellEnd"/>
      <w:r>
        <w:rPr>
          <w:lang w:val="el-GR"/>
        </w:rPr>
        <w:t xml:space="preserve"> κινδύνους μέσω οικονομικής ανασφάλειας, περιορισμού των υποστηρικτικών δικτύων και δυσκολότερης πρόσβασης σε υπηρεσίες. Κατά την πανδημία </w:t>
      </w:r>
      <w:r>
        <w:t>COVID</w:t>
      </w:r>
      <w:r>
        <w:rPr>
          <w:lang w:val="el-GR"/>
        </w:rPr>
        <w:t xml:space="preserve">-19 (2020–2023) και ιδίως κατά τις περιόδους υποχρεωτικού κατ’ </w:t>
      </w:r>
      <w:proofErr w:type="spellStart"/>
      <w:r>
        <w:rPr>
          <w:lang w:val="el-GR"/>
        </w:rPr>
        <w:t>οίκον</w:t>
      </w:r>
      <w:proofErr w:type="spellEnd"/>
      <w:r>
        <w:rPr>
          <w:lang w:val="el-GR"/>
        </w:rPr>
        <w:t xml:space="preserve"> περιορισμού που επιβλήθηκαν για τον έλεγχο της διασποράς του ιού, συστηματικές ανασκοπήσεις κατέγραψαν αύξηση ή επιδείνωση της ενδοοικογενειακής βίας, ιδιαίτερα στις πρώτες περιόδους εγκλεισμού, αν και τα ευρήματα για την επικράτηση δεν ήταν απολύτως ομοιόμορφα (</w:t>
      </w:r>
      <w:r>
        <w:t>Kourti</w:t>
      </w:r>
      <w:r>
        <w:rPr>
          <w:lang w:val="el-GR"/>
        </w:rPr>
        <w:t xml:space="preserve"> </w:t>
      </w:r>
      <w:r>
        <w:t>et</w:t>
      </w:r>
      <w:r>
        <w:rPr>
          <w:lang w:val="el-GR"/>
        </w:rPr>
        <w:t xml:space="preserve"> </w:t>
      </w:r>
      <w:r>
        <w:t>al</w:t>
      </w:r>
      <w:r>
        <w:rPr>
          <w:lang w:val="el-GR"/>
        </w:rPr>
        <w:t>., 2023·</w:t>
      </w:r>
      <w:r>
        <w:t>Thiel</w:t>
      </w:r>
      <w:r>
        <w:rPr>
          <w:lang w:val="el-GR"/>
        </w:rPr>
        <w:t xml:space="preserve"> </w:t>
      </w:r>
      <w:r>
        <w:t>et</w:t>
      </w:r>
      <w:r>
        <w:rPr>
          <w:lang w:val="el-GR"/>
        </w:rPr>
        <w:t xml:space="preserve"> </w:t>
      </w:r>
      <w:r>
        <w:t>al</w:t>
      </w:r>
      <w:r>
        <w:rPr>
          <w:lang w:val="el-GR"/>
        </w:rPr>
        <w:t xml:space="preserve">., 2022). Στην Ελλάδα, οι κλήσεις στη Γραμμή </w:t>
      </w:r>
      <w:r>
        <w:t>SOS</w:t>
      </w:r>
      <w:r>
        <w:rPr>
          <w:lang w:val="el-GR"/>
        </w:rPr>
        <w:t xml:space="preserve"> 15900 για περιστατικά ενδοοικογενειακής βίας αυξήθηκαν από 166 τον Μάρτιο του 2020, κατά την έναρξη των περιοριστικών μέτρων, σε 648 τον Απρίλιο του ίδιου έτους, κατά την περίοδο του γενικευμένου κατ’ </w:t>
      </w:r>
      <w:proofErr w:type="spellStart"/>
      <w:r>
        <w:rPr>
          <w:lang w:val="el-GR"/>
        </w:rPr>
        <w:t>οίκον</w:t>
      </w:r>
      <w:proofErr w:type="spellEnd"/>
      <w:r>
        <w:rPr>
          <w:lang w:val="el-GR"/>
        </w:rPr>
        <w:t xml:space="preserve"> περιορισμού (ΓΓΟΠΙΦ, 2020). Παρότι τα στοιχεία αυτά δεν αποτελούν πληθυσμιακή εκτίμηση, αποτυπώνουν την απότομη αύξηση της αναζήτησης βοήθειας και, σε συνδυασμό με τα διεθνή ευρήματα, υπογραμμίζουν την ανάγκη ενσωμάτωσης της πρόληψης και αντιμετώπισης της βίας στα σχέδια ετοιμότητας για μελλοντικές κρίσεις.</w:t>
      </w:r>
    </w:p>
    <w:p w14:paraId="6B316076" w14:textId="77777777" w:rsidR="00E63D5B" w:rsidRPr="00132066" w:rsidRDefault="001F059D">
      <w:pPr>
        <w:rPr>
          <w:lang w:val="el-GR"/>
        </w:rPr>
      </w:pPr>
      <w:r>
        <w:rPr>
          <w:lang w:val="el-GR"/>
        </w:rPr>
        <w:t xml:space="preserve">Οι μελέτες σε μεταναστευτικούς και προσφυγικούς πληθυσμούς καταγράφουν πολύ μεγάλη μεταβλητότητα στα ποσοστά </w:t>
      </w:r>
      <w:proofErr w:type="spellStart"/>
      <w:r>
        <w:rPr>
          <w:lang w:val="el-GR"/>
        </w:rPr>
        <w:t>θυματοποίησης</w:t>
      </w:r>
      <w:proofErr w:type="spellEnd"/>
      <w:r>
        <w:rPr>
          <w:lang w:val="el-GR"/>
        </w:rPr>
        <w:t xml:space="preserve"> ανάλογα με τη χώρα προέλευσης και τα εργαλεία μέτρησης (</w:t>
      </w:r>
      <w:proofErr w:type="spellStart"/>
      <w:r>
        <w:t>Amanor</w:t>
      </w:r>
      <w:proofErr w:type="spellEnd"/>
      <w:r>
        <w:rPr>
          <w:lang w:val="el-GR"/>
        </w:rPr>
        <w:t>-</w:t>
      </w:r>
      <w:r>
        <w:t>Boadu</w:t>
      </w:r>
      <w:r>
        <w:rPr>
          <w:lang w:val="el-GR"/>
        </w:rPr>
        <w:t xml:space="preserve"> </w:t>
      </w:r>
      <w:r>
        <w:t>et</w:t>
      </w:r>
      <w:r>
        <w:rPr>
          <w:lang w:val="el-GR"/>
        </w:rPr>
        <w:t xml:space="preserve"> </w:t>
      </w:r>
      <w:r>
        <w:t>al</w:t>
      </w:r>
      <w:r>
        <w:rPr>
          <w:lang w:val="el-GR"/>
        </w:rPr>
        <w:t>., 2012·</w:t>
      </w:r>
      <w:r>
        <w:t>Morrison</w:t>
      </w:r>
      <w:r>
        <w:rPr>
          <w:lang w:val="el-GR"/>
        </w:rPr>
        <w:t xml:space="preserve"> </w:t>
      </w:r>
      <w:r>
        <w:t>et</w:t>
      </w:r>
      <w:r>
        <w:rPr>
          <w:lang w:val="el-GR"/>
        </w:rPr>
        <w:t xml:space="preserve"> </w:t>
      </w:r>
      <w:r>
        <w:t>al</w:t>
      </w:r>
      <w:r>
        <w:rPr>
          <w:lang w:val="el-GR"/>
        </w:rPr>
        <w:t>., 2024). Το κοινό στοιχείο είναι ότι η μεταναστευτική θέση πολλαπλασιάζει τα εμπόδια: γλωσσικοί φραγμοί, εξάρτηση από τον δράστη για το καθεστώς διαμονής, αποκοπή από το υποστηρικτικό δίκτυο, φόβος απέναντι στις αρχές (</w:t>
      </w:r>
      <w:r>
        <w:t>Menj</w:t>
      </w:r>
      <w:r>
        <w:rPr>
          <w:lang w:val="el-GR"/>
        </w:rPr>
        <w:t>í</w:t>
      </w:r>
      <w:r>
        <w:t>var</w:t>
      </w:r>
      <w:r>
        <w:rPr>
          <w:lang w:val="el-GR"/>
        </w:rPr>
        <w:t xml:space="preserve"> &amp; </w:t>
      </w:r>
      <w:r>
        <w:t>Salcido</w:t>
      </w:r>
      <w:r>
        <w:rPr>
          <w:lang w:val="el-GR"/>
        </w:rPr>
        <w:t>, 2002·</w:t>
      </w:r>
      <w:r>
        <w:t>Stockman</w:t>
      </w:r>
      <w:r>
        <w:rPr>
          <w:lang w:val="el-GR"/>
        </w:rPr>
        <w:t xml:space="preserve"> </w:t>
      </w:r>
      <w:r>
        <w:t>et</w:t>
      </w:r>
      <w:r>
        <w:rPr>
          <w:lang w:val="el-GR"/>
        </w:rPr>
        <w:t xml:space="preserve"> </w:t>
      </w:r>
      <w:r>
        <w:t>al</w:t>
      </w:r>
      <w:r>
        <w:rPr>
          <w:lang w:val="el-GR"/>
        </w:rPr>
        <w:t xml:space="preserve">., 2015). Στην Ελλάδα, οι σχετικές εκθέσεις επιβεβαιώνουν τη σύνδεση </w:t>
      </w:r>
      <w:r>
        <w:rPr>
          <w:lang w:val="el-GR"/>
        </w:rPr>
        <w:lastRenderedPageBreak/>
        <w:t xml:space="preserve">της ενδοοικογενειακής βίας με κοινωνική, οικονομική και νομική αποδυνάμωση, ενώ ο προσφυγικός πληθυσμός στις δομές φιλοξενίας εμφανίζει ιδιαίτερα αυξημένη </w:t>
      </w:r>
      <w:proofErr w:type="spellStart"/>
      <w:r>
        <w:rPr>
          <w:lang w:val="el-GR"/>
        </w:rPr>
        <w:t>ευαλωτότητα</w:t>
      </w:r>
      <w:proofErr w:type="spellEnd"/>
      <w:r>
        <w:rPr>
          <w:lang w:val="el-GR"/>
        </w:rPr>
        <w:t xml:space="preserve"> (</w:t>
      </w:r>
      <w:r>
        <w:t>ActionAid</w:t>
      </w:r>
      <w:r>
        <w:rPr>
          <w:lang w:val="el-GR"/>
        </w:rPr>
        <w:t>, 2018·</w:t>
      </w:r>
      <w:r>
        <w:t>Refugees</w:t>
      </w:r>
      <w:r>
        <w:rPr>
          <w:lang w:val="el-GR"/>
        </w:rPr>
        <w:t xml:space="preserve"> </w:t>
      </w:r>
      <w:r>
        <w:t>International</w:t>
      </w:r>
      <w:r>
        <w:rPr>
          <w:lang w:val="el-GR"/>
        </w:rPr>
        <w:t>, 2020).</w:t>
      </w:r>
    </w:p>
    <w:p w14:paraId="604E81CE" w14:textId="77777777" w:rsidR="00E63D5B" w:rsidRPr="00132066" w:rsidRDefault="001F059D">
      <w:pPr>
        <w:rPr>
          <w:lang w:val="el-GR"/>
        </w:rPr>
      </w:pPr>
      <w:r>
        <w:rPr>
          <w:lang w:val="el-GR"/>
        </w:rPr>
        <w:t xml:space="preserve">Στους ΛΟΑΤΚΙΑ+ πληθυσμούς, τα ποσοστά συντροφικής βίας είναι συγκρίσιμα ή υψηλότερα από εκείνα των ετεροφυλόφιλων πληθυσμών, με ιδιαίτερη επιβάρυνση στις αμφιφυλόφιλες γυναίκες και στα </w:t>
      </w:r>
      <w:proofErr w:type="spellStart"/>
      <w:r>
        <w:rPr>
          <w:lang w:val="el-GR"/>
        </w:rPr>
        <w:t>τρανς</w:t>
      </w:r>
      <w:proofErr w:type="spellEnd"/>
      <w:r>
        <w:rPr>
          <w:lang w:val="el-GR"/>
        </w:rPr>
        <w:t xml:space="preserve"> άτομα (</w:t>
      </w:r>
      <w:r>
        <w:t>Walters</w:t>
      </w:r>
      <w:r>
        <w:rPr>
          <w:lang w:val="el-GR"/>
        </w:rPr>
        <w:t xml:space="preserve"> </w:t>
      </w:r>
      <w:r>
        <w:t>et</w:t>
      </w:r>
      <w:r>
        <w:rPr>
          <w:lang w:val="el-GR"/>
        </w:rPr>
        <w:t xml:space="preserve"> </w:t>
      </w:r>
      <w:r>
        <w:t>al</w:t>
      </w:r>
      <w:r>
        <w:rPr>
          <w:lang w:val="el-GR"/>
        </w:rPr>
        <w:t>., 2013·</w:t>
      </w:r>
      <w:r>
        <w:t>Edwards</w:t>
      </w:r>
      <w:r>
        <w:rPr>
          <w:lang w:val="el-GR"/>
        </w:rPr>
        <w:t xml:space="preserve"> </w:t>
      </w:r>
      <w:r>
        <w:t>et</w:t>
      </w:r>
      <w:r>
        <w:rPr>
          <w:lang w:val="el-GR"/>
        </w:rPr>
        <w:t xml:space="preserve"> </w:t>
      </w:r>
      <w:r>
        <w:t>al</w:t>
      </w:r>
      <w:r>
        <w:rPr>
          <w:lang w:val="el-GR"/>
        </w:rPr>
        <w:t>., 2015·</w:t>
      </w:r>
      <w:r>
        <w:t>Rodrigues</w:t>
      </w:r>
      <w:r>
        <w:rPr>
          <w:lang w:val="el-GR"/>
        </w:rPr>
        <w:t xml:space="preserve"> </w:t>
      </w:r>
      <w:r>
        <w:t>et</w:t>
      </w:r>
      <w:r>
        <w:rPr>
          <w:lang w:val="el-GR"/>
        </w:rPr>
        <w:t xml:space="preserve"> </w:t>
      </w:r>
      <w:r>
        <w:t>al</w:t>
      </w:r>
      <w:r>
        <w:rPr>
          <w:lang w:val="el-GR"/>
        </w:rPr>
        <w:t>., 2025). Εκτός από τις κοινές μορφές κακοποίησης, ο δράστης μπορεί να αξιοποιεί το μειονοτικό στρες και το κοινωνικό στίγμα ως μέσα ελέγχου, απειλώντας με αποκάλυψη της ταυτότητας, αμφισβητώντας τον αυτοπροσδιορισμό, απομονώνοντας το άτομο από τις ΛΟΑΤΚΙΑ+ κοινότητες ή περιορίζοντας την πρόσβασή του σε ορμόνες και άλλους πόρους έμφυλης επιβεβαίωσης (</w:t>
      </w:r>
      <w:r>
        <w:t>Balsam</w:t>
      </w:r>
      <w:r>
        <w:rPr>
          <w:lang w:val="el-GR"/>
        </w:rPr>
        <w:t xml:space="preserve"> &amp; </w:t>
      </w:r>
      <w:r>
        <w:t>Szymanski</w:t>
      </w:r>
      <w:r>
        <w:rPr>
          <w:lang w:val="el-GR"/>
        </w:rPr>
        <w:t>, 2005·</w:t>
      </w:r>
      <w:r>
        <w:t>Peitzmeier</w:t>
      </w:r>
      <w:r>
        <w:rPr>
          <w:lang w:val="el-GR"/>
        </w:rPr>
        <w:t xml:space="preserve"> </w:t>
      </w:r>
      <w:r>
        <w:t>et</w:t>
      </w:r>
      <w:r>
        <w:rPr>
          <w:lang w:val="el-GR"/>
        </w:rPr>
        <w:t xml:space="preserve"> </w:t>
      </w:r>
      <w:r>
        <w:t>al</w:t>
      </w:r>
      <w:r>
        <w:rPr>
          <w:lang w:val="el-GR"/>
        </w:rPr>
        <w:t xml:space="preserve">., 2020). Παράλληλα, ο φόβος διακρίσεων ή ανεπιθύμητης αποκάλυψης, η </w:t>
      </w:r>
      <w:proofErr w:type="spellStart"/>
      <w:r>
        <w:rPr>
          <w:lang w:val="el-GR"/>
        </w:rPr>
        <w:t>ετεροκανονική</w:t>
      </w:r>
      <w:proofErr w:type="spellEnd"/>
      <w:r>
        <w:rPr>
          <w:lang w:val="el-GR"/>
        </w:rPr>
        <w:t xml:space="preserve"> οργάνωση των υπηρεσιών και η ανεπάρκεια ασφαλών και συμπεριληπτικών δομών περιορίζουν την αναφορά της βίας και την αναζήτηση βοήθειας (</w:t>
      </w:r>
      <w:r>
        <w:t>Edwards</w:t>
      </w:r>
      <w:r>
        <w:rPr>
          <w:lang w:val="el-GR"/>
        </w:rPr>
        <w:t xml:space="preserve"> </w:t>
      </w:r>
      <w:r>
        <w:t>et</w:t>
      </w:r>
      <w:r>
        <w:rPr>
          <w:lang w:val="el-GR"/>
        </w:rPr>
        <w:t xml:space="preserve"> </w:t>
      </w:r>
      <w:r>
        <w:t>al</w:t>
      </w:r>
      <w:r>
        <w:rPr>
          <w:lang w:val="el-GR"/>
        </w:rPr>
        <w:t xml:space="preserve">., 2015·Ζερέ &amp; </w:t>
      </w:r>
      <w:proofErr w:type="spellStart"/>
      <w:r>
        <w:rPr>
          <w:lang w:val="el-GR"/>
        </w:rPr>
        <w:t>Χατζηφωτίου</w:t>
      </w:r>
      <w:proofErr w:type="spellEnd"/>
      <w:r>
        <w:rPr>
          <w:lang w:val="el-GR"/>
        </w:rPr>
        <w:t>, 2024).</w:t>
      </w:r>
    </w:p>
    <w:p w14:paraId="3ED6AE40" w14:textId="77777777" w:rsidR="00E63D5B" w:rsidRPr="00132066" w:rsidRDefault="001F059D">
      <w:pPr>
        <w:pStyle w:val="20"/>
        <w:rPr>
          <w:lang w:val="el-GR"/>
        </w:rPr>
      </w:pPr>
      <w:bookmarkStart w:id="11" w:name="_Toc242134416"/>
      <w:r>
        <w:rPr>
          <w:lang w:val="el-GR"/>
        </w:rPr>
        <w:t>2.4 Θεωρητικές προσεγγίσεις της ενδοοικογενειακής βίας</w:t>
      </w:r>
      <w:bookmarkEnd w:id="11"/>
    </w:p>
    <w:p w14:paraId="4CE7B51A" w14:textId="77777777" w:rsidR="00E63D5B" w:rsidRPr="00132066" w:rsidRDefault="001F059D">
      <w:pPr>
        <w:rPr>
          <w:lang w:val="el-GR"/>
        </w:rPr>
      </w:pPr>
      <w:r>
        <w:rPr>
          <w:lang w:val="el-GR"/>
        </w:rPr>
        <w:t xml:space="preserve">Καμία μεμονωμένη θεωρία δεν εξηγεί πλήρως την ετερογένεια των μορφών, των μηχανισμών και των συνεπειών της ενδοοικογενειακής βίας. Η σύγχρονη κατανόησή της απαιτεί τη σύνθεση έμφυλων, αναπτυξιακών, </w:t>
      </w:r>
      <w:proofErr w:type="spellStart"/>
      <w:r>
        <w:rPr>
          <w:lang w:val="el-GR"/>
        </w:rPr>
        <w:t>τραυματοκεντρικών</w:t>
      </w:r>
      <w:proofErr w:type="spellEnd"/>
      <w:r>
        <w:rPr>
          <w:lang w:val="el-GR"/>
        </w:rPr>
        <w:t>, γνωστικών, κοινωνικών και οικολογικών προσεγγίσεων, με σαφή διάκριση ανάμεσα στους παράγοντες που αυξάνουν τον κίνδυνο και στην ευθύνη του δράστη (</w:t>
      </w:r>
      <w:r>
        <w:t>Dutton</w:t>
      </w:r>
      <w:r>
        <w:rPr>
          <w:lang w:val="el-GR"/>
        </w:rPr>
        <w:t xml:space="preserve"> &amp; </w:t>
      </w:r>
      <w:r>
        <w:t>Corvo</w:t>
      </w:r>
      <w:r>
        <w:rPr>
          <w:lang w:val="el-GR"/>
        </w:rPr>
        <w:t>, 2006·</w:t>
      </w:r>
      <w:r>
        <w:t>Heise</w:t>
      </w:r>
      <w:r>
        <w:rPr>
          <w:lang w:val="el-GR"/>
        </w:rPr>
        <w:t>, 1998).</w:t>
      </w:r>
    </w:p>
    <w:p w14:paraId="701B76D7" w14:textId="77777777" w:rsidR="00E63D5B" w:rsidRPr="00132066" w:rsidRDefault="001F059D">
      <w:pPr>
        <w:rPr>
          <w:lang w:val="el-GR"/>
        </w:rPr>
      </w:pPr>
      <w:r>
        <w:rPr>
          <w:lang w:val="el-GR"/>
        </w:rPr>
        <w:t>Η φεμινιστική προσέγγιση μετατόπισε τη συντροφική βία από το πεδίο του «ιδιωτικού προβλήματος» στο πεδίο της συστημικής έμφυλης ανισότητας (</w:t>
      </w:r>
      <w:r>
        <w:t>McPhail</w:t>
      </w:r>
      <w:r>
        <w:rPr>
          <w:lang w:val="el-GR"/>
        </w:rPr>
        <w:t xml:space="preserve"> </w:t>
      </w:r>
      <w:r>
        <w:t>et</w:t>
      </w:r>
      <w:r>
        <w:rPr>
          <w:lang w:val="el-GR"/>
        </w:rPr>
        <w:t xml:space="preserve"> </w:t>
      </w:r>
      <w:r>
        <w:t>al</w:t>
      </w:r>
      <w:r>
        <w:rPr>
          <w:lang w:val="el-GR"/>
        </w:rPr>
        <w:t>., 2007). Η θεωρία της πατριαρχίας ερμηνεύει τη βία ως μηχανισμό διατήρησης της ανδρικής κυριαρχίας σε ένα πλαίσιο όπου οι άνδρες διαθέτουν ιστορικά περισσότερους οικονομικούς, πολιτικούς και συμβολικούς πόρους (</w:t>
      </w:r>
      <w:proofErr w:type="spellStart"/>
      <w:r>
        <w:t>Dobash</w:t>
      </w:r>
      <w:proofErr w:type="spellEnd"/>
      <w:r>
        <w:rPr>
          <w:lang w:val="el-GR"/>
        </w:rPr>
        <w:t xml:space="preserve"> &amp; </w:t>
      </w:r>
      <w:proofErr w:type="spellStart"/>
      <w:r>
        <w:t>Dobash</w:t>
      </w:r>
      <w:proofErr w:type="spellEnd"/>
      <w:r>
        <w:rPr>
          <w:lang w:val="el-GR"/>
        </w:rPr>
        <w:t xml:space="preserve">, 1979). Κεντρική συμβολή αυτής της οπτικής είναι η </w:t>
      </w:r>
      <w:proofErr w:type="spellStart"/>
      <w:r>
        <w:rPr>
          <w:lang w:val="el-GR"/>
        </w:rPr>
        <w:t>αποπαθολογικοποίηση</w:t>
      </w:r>
      <w:proofErr w:type="spellEnd"/>
      <w:r>
        <w:rPr>
          <w:lang w:val="el-GR"/>
        </w:rPr>
        <w:t xml:space="preserve"> των επιζωσών: η παραμονή, η αμφιθυμία ή η προσωρινή επιστροφή σε μια κακοποιητική σχέση εξετάζονται υπό το πρίσμα πραγματικών απειλών, οικονομικής εξάρτησης, κοινωνικής απομόνωσης, ανησυχίας για τα παιδιά και ανεπαρκούς θεσμικής προστασίας και όχι ως ενδείξεις αδυναμίας ή συναίνεσης. Παράλληλα, η διαθεματικότητα αναδεικνύει ότι το φύλο </w:t>
      </w:r>
      <w:proofErr w:type="spellStart"/>
      <w:r>
        <w:rPr>
          <w:lang w:val="el-GR"/>
        </w:rPr>
        <w:t>αλληλεπιδρά</w:t>
      </w:r>
      <w:proofErr w:type="spellEnd"/>
      <w:r>
        <w:rPr>
          <w:lang w:val="el-GR"/>
        </w:rPr>
        <w:t xml:space="preserve"> με την κοινωνική τάξη, την εθνότητα, την αναπηρία, το μεταναστευτικό καθεστώς, την ηλικία, τη μητρότητα και τη σεξουαλική ή έμφυλη ταυτότητα, διαμορφώνοντας διαφορετικές μορφές έκθεσης, </w:t>
      </w:r>
      <w:proofErr w:type="spellStart"/>
      <w:r>
        <w:rPr>
          <w:lang w:val="el-GR"/>
        </w:rPr>
        <w:t>ευαλωτότητας</w:t>
      </w:r>
      <w:proofErr w:type="spellEnd"/>
      <w:r>
        <w:rPr>
          <w:lang w:val="el-GR"/>
        </w:rPr>
        <w:t>, αντίστασης και πρόσβασης στην προστασία (</w:t>
      </w:r>
      <w:r>
        <w:t>Crenshaw</w:t>
      </w:r>
      <w:r>
        <w:rPr>
          <w:lang w:val="el-GR"/>
        </w:rPr>
        <w:t>, 1991·</w:t>
      </w:r>
      <w:r>
        <w:t>Bograd</w:t>
      </w:r>
      <w:r>
        <w:rPr>
          <w:lang w:val="el-GR"/>
        </w:rPr>
        <w:t>, 1999·</w:t>
      </w:r>
      <w:r>
        <w:t>Sokoloff</w:t>
      </w:r>
      <w:r>
        <w:rPr>
          <w:lang w:val="el-GR"/>
        </w:rPr>
        <w:t xml:space="preserve"> &amp; </w:t>
      </w:r>
      <w:r>
        <w:t>Dupont</w:t>
      </w:r>
      <w:r>
        <w:rPr>
          <w:lang w:val="el-GR"/>
        </w:rPr>
        <w:t>, 2005).</w:t>
      </w:r>
    </w:p>
    <w:p w14:paraId="68AB127C" w14:textId="77777777" w:rsidR="00E63D5B" w:rsidRPr="00132066" w:rsidRDefault="001F059D">
      <w:pPr>
        <w:rPr>
          <w:lang w:val="el-GR"/>
        </w:rPr>
      </w:pPr>
      <w:r>
        <w:rPr>
          <w:lang w:val="el-GR"/>
        </w:rPr>
        <w:t>Το μοντέλο του «κύκλου της βίας» περιγράφει μια επαναλαμβανόμενη ακολουθία συσσώρευσης έντασης, οξείας βίαιης επίθεσης και περιόδου μεταμέλειας ή συμφιλίωσης, γνωστής και ως «μήνας του μέλιτος» (</w:t>
      </w:r>
      <w:r>
        <w:t>Walker</w:t>
      </w:r>
      <w:r>
        <w:rPr>
          <w:lang w:val="el-GR"/>
        </w:rPr>
        <w:t xml:space="preserve">, 1979). Συνέβαλε στην κατανόηση της απρόβλεπτης εναλλαγής φόβου και προσωρινής ηρεμίας, χωρίς όμως να αποτελεί καθολικό σχήμα για όλες τις κακοποιητικές σχέσεις. Το μοντέλο </w:t>
      </w:r>
      <w:r>
        <w:t>Duluth</w:t>
      </w:r>
      <w:r>
        <w:rPr>
          <w:lang w:val="el-GR"/>
        </w:rPr>
        <w:t xml:space="preserve"> διεύρυνε περαιτέρω την οπτική, εντάσσοντας τη σωματική βία σε ένα πλέγμα εκφοβισμού, απομόνωσης, οικονομικής κακοποίησης, απειλών, χρήσης των παιδιών, ελαχιστοποίησης της βίας και ενοχοποίησης των γυναικών (</w:t>
      </w:r>
      <w:r>
        <w:t>Pence</w:t>
      </w:r>
      <w:r>
        <w:rPr>
          <w:lang w:val="el-GR"/>
        </w:rPr>
        <w:t xml:space="preserve"> &amp; </w:t>
      </w:r>
      <w:proofErr w:type="spellStart"/>
      <w:r>
        <w:t>Paymar</w:t>
      </w:r>
      <w:proofErr w:type="spellEnd"/>
      <w:r>
        <w:rPr>
          <w:lang w:val="el-GR"/>
        </w:rPr>
        <w:t>, 1993). Η θεωρία του εξαναγκαστικού ελέγχου προχωρά πέρα από την καταμέτρηση μεμονωμένων επεισοδίων και περιγράφει την κακοποίηση ως οργανωμένη στρατηγική στέρησης της ελευθερίας, μέσω της οποίας ο δράστης ρυθμίζει την καθημερινότητα, τους οικονομικούς πόρους, την εργασία, τις κοινωνικές σχέσεις και τις επιλογές των γυναικών (</w:t>
      </w:r>
      <w:r>
        <w:t>Stark</w:t>
      </w:r>
      <w:r>
        <w:rPr>
          <w:lang w:val="el-GR"/>
        </w:rPr>
        <w:t xml:space="preserve">, 2007). Η προσέγγιση αυτή εξηγεί γιατί συμπεριφορές </w:t>
      </w:r>
      <w:r>
        <w:rPr>
          <w:lang w:val="el-GR"/>
        </w:rPr>
        <w:lastRenderedPageBreak/>
        <w:t>που δεν προκαλούν εμφανή σωματικό τραυματισμό μπορούν να έχουν σοβαρές και σωρευτικές συνέπειες.</w:t>
      </w:r>
    </w:p>
    <w:p w14:paraId="05F10CF8" w14:textId="7DC670E9" w:rsidR="00E63D5B" w:rsidRPr="00132066" w:rsidRDefault="001F059D">
      <w:pPr>
        <w:rPr>
          <w:lang w:val="el-GR"/>
        </w:rPr>
      </w:pPr>
      <w:r>
        <w:rPr>
          <w:lang w:val="el-GR"/>
        </w:rPr>
        <w:t>Οι ψυχοδυναμικές και σχεσιακές-αναπτυξιακές προσεγγίσεις εξετάζουν τον τρόπο με τον οποίο οι πρώιμες σχέσεις, οι εσωτερικές αναπαραστάσεις και οι αμυντικοί μηχανισμοί επηρεάζουν τη ρύθμιση του συναισθήματος και τις μεταγενέστερες στενές σχέσεις. Σύμφωνα με τη θεωρία του δεσμού, οι εμπειρίες ασφάλειας ή απειλής με τα πρόσωπα φροντίδας διαμορφώνουν «εσωτερικά μοντέλα» του εαυτού και των άλλων, τα οποία αφορούν το κατά πόσο η εγγύτητα είναι ασφαλής, ο άλλος είναι διαθέσιμος και ο εαυτός άξιος φροντίδας (</w:t>
      </w:r>
      <w:r>
        <w:t>Bowlby</w:t>
      </w:r>
      <w:r>
        <w:rPr>
          <w:lang w:val="el-GR"/>
        </w:rPr>
        <w:t xml:space="preserve">, 1969, 1973 </w:t>
      </w:r>
      <w:r>
        <w:t>Hyde</w:t>
      </w:r>
      <w:r>
        <w:rPr>
          <w:lang w:val="el-GR"/>
        </w:rPr>
        <w:t>-</w:t>
      </w:r>
      <w:r>
        <w:t>Nolan</w:t>
      </w:r>
      <w:r>
        <w:rPr>
          <w:lang w:val="el-GR"/>
        </w:rPr>
        <w:t xml:space="preserve"> &amp; </w:t>
      </w:r>
      <w:r>
        <w:t>Juliao</w:t>
      </w:r>
      <w:r>
        <w:rPr>
          <w:lang w:val="el-GR"/>
        </w:rPr>
        <w:t>, 2012·</w:t>
      </w:r>
      <w:proofErr w:type="spellStart"/>
      <w:r>
        <w:t>Mikulincer</w:t>
      </w:r>
      <w:proofErr w:type="spellEnd"/>
      <w:r>
        <w:rPr>
          <w:lang w:val="el-GR"/>
        </w:rPr>
        <w:t xml:space="preserve"> &amp; </w:t>
      </w:r>
      <w:r>
        <w:t>Shaver</w:t>
      </w:r>
      <w:r>
        <w:rPr>
          <w:lang w:val="el-GR"/>
        </w:rPr>
        <w:t xml:space="preserve">, 2007). Η ανασφάλεια δεσμού μπορεί να </w:t>
      </w:r>
      <w:proofErr w:type="spellStart"/>
      <w:r>
        <w:rPr>
          <w:lang w:val="el-GR"/>
        </w:rPr>
        <w:t>αλληλεπιδρά</w:t>
      </w:r>
      <w:proofErr w:type="spellEnd"/>
      <w:r>
        <w:rPr>
          <w:lang w:val="el-GR"/>
        </w:rPr>
        <w:t xml:space="preserve"> με άλλους παράγοντες κινδύνου, αλλά δεν αποτελεί επαρκή αιτιολογική εξήγηση της βίας και δεν πρέπει να χρησιμοποιείται για να μετατρέψει το ιστορικό του δράστη σε απαλλαγή από την ευθύνη ή το ιστορικό των επιζωσών σε εξήγηση της </w:t>
      </w:r>
      <w:proofErr w:type="spellStart"/>
      <w:r>
        <w:rPr>
          <w:lang w:val="el-GR"/>
        </w:rPr>
        <w:t>θυματοποίησής</w:t>
      </w:r>
      <w:proofErr w:type="spellEnd"/>
      <w:r>
        <w:rPr>
          <w:lang w:val="el-GR"/>
        </w:rPr>
        <w:t xml:space="preserve"> τους.</w:t>
      </w:r>
    </w:p>
    <w:p w14:paraId="0B8B4B7B" w14:textId="77777777" w:rsidR="00E63D5B" w:rsidRPr="00132066" w:rsidRDefault="001F059D">
      <w:pPr>
        <w:rPr>
          <w:lang w:val="el-GR"/>
        </w:rPr>
      </w:pPr>
      <w:r>
        <w:rPr>
          <w:lang w:val="el-GR"/>
        </w:rPr>
        <w:t xml:space="preserve">Η θεωρία του τραύματος είναι ιδιαίτερα σημαντική, επειδή η ενδοοικογενειακή βία είναι συχνά χρόνια, επαναλαμβανόμενη και ασκείται από πρόσωπο συναισθηματικής και πρακτικής σημασίας. Η παρατεταμένη έκθεση σε απειλή μέσα σε σχέση εξάρτησης μπορεί να επηρεάσει όχι μόνο την εμφάνιση συμπτωμάτων </w:t>
      </w:r>
      <w:proofErr w:type="spellStart"/>
      <w:r>
        <w:rPr>
          <w:lang w:val="el-GR"/>
        </w:rPr>
        <w:t>μετατραυματικού</w:t>
      </w:r>
      <w:proofErr w:type="spellEnd"/>
      <w:r>
        <w:rPr>
          <w:lang w:val="el-GR"/>
        </w:rPr>
        <w:t xml:space="preserve"> στρες, αλλά και τη ρύθμιση του συναισθήματος, την αυτοαντίληψη, τη σωματική αίσθηση ασφάλειας, την εμπιστοσύνη και την ικανότητα σύνδεσης με άλλους, προσεγγίζοντας την εικόνα του σύνθετου τραύματος (</w:t>
      </w:r>
      <w:r>
        <w:t>Herman</w:t>
      </w:r>
      <w:r>
        <w:rPr>
          <w:lang w:val="el-GR"/>
        </w:rPr>
        <w:t>, 1992·</w:t>
      </w:r>
      <w:r>
        <w:t>Courtois</w:t>
      </w:r>
      <w:r>
        <w:rPr>
          <w:lang w:val="el-GR"/>
        </w:rPr>
        <w:t>, 2004·</w:t>
      </w:r>
      <w:r>
        <w:t>Freyd</w:t>
      </w:r>
      <w:r>
        <w:rPr>
          <w:lang w:val="el-GR"/>
        </w:rPr>
        <w:t>, 1997·</w:t>
      </w:r>
      <w:r>
        <w:t>Van</w:t>
      </w:r>
      <w:r>
        <w:rPr>
          <w:lang w:val="el-GR"/>
        </w:rPr>
        <w:t xml:space="preserve"> </w:t>
      </w:r>
      <w:r>
        <w:t>der</w:t>
      </w:r>
      <w:r>
        <w:rPr>
          <w:lang w:val="el-GR"/>
        </w:rPr>
        <w:t xml:space="preserve"> </w:t>
      </w:r>
      <w:r>
        <w:t>Kolk</w:t>
      </w:r>
      <w:r>
        <w:rPr>
          <w:lang w:val="el-GR"/>
        </w:rPr>
        <w:t xml:space="preserve"> </w:t>
      </w:r>
      <w:r>
        <w:t>et</w:t>
      </w:r>
      <w:r>
        <w:rPr>
          <w:lang w:val="el-GR"/>
        </w:rPr>
        <w:t xml:space="preserve"> </w:t>
      </w:r>
      <w:r>
        <w:t>al</w:t>
      </w:r>
      <w:r>
        <w:rPr>
          <w:lang w:val="el-GR"/>
        </w:rPr>
        <w:t xml:space="preserve">., 2005). Η </w:t>
      </w:r>
      <w:proofErr w:type="spellStart"/>
      <w:r>
        <w:rPr>
          <w:lang w:val="el-GR"/>
        </w:rPr>
        <w:t>υπερεπαγρύπνηση</w:t>
      </w:r>
      <w:proofErr w:type="spellEnd"/>
      <w:r>
        <w:rPr>
          <w:lang w:val="el-GR"/>
        </w:rPr>
        <w:t xml:space="preserve"> μετά τον χωρισμό δεν πρέπει, ωστόσο, να θεωρείται αυτομάτως τραυματική παραμόρφωση, καθώς μπορεί να αντανακλά ενεργό κίνδυνο μέσω </w:t>
      </w:r>
      <w:proofErr w:type="spellStart"/>
      <w:r>
        <w:rPr>
          <w:lang w:val="el-GR"/>
        </w:rPr>
        <w:t>εμμονικής</w:t>
      </w:r>
      <w:proofErr w:type="spellEnd"/>
      <w:r>
        <w:rPr>
          <w:lang w:val="el-GR"/>
        </w:rPr>
        <w:t xml:space="preserve"> παρακολούθησης, απειλών, δικαστικής παρενόχλησης ή </w:t>
      </w:r>
      <w:proofErr w:type="spellStart"/>
      <w:r>
        <w:rPr>
          <w:lang w:val="el-GR"/>
        </w:rPr>
        <w:t>εργαλειοποίησης</w:t>
      </w:r>
      <w:proofErr w:type="spellEnd"/>
      <w:r>
        <w:rPr>
          <w:lang w:val="el-GR"/>
        </w:rPr>
        <w:t xml:space="preserve"> των παιδιών. Η κλινική αξιολόγηση χρειάζεται, επομένως, να διακρίνει την </w:t>
      </w:r>
      <w:proofErr w:type="spellStart"/>
      <w:r>
        <w:rPr>
          <w:lang w:val="el-GR"/>
        </w:rPr>
        <w:t>επανενεργοποίηση</w:t>
      </w:r>
      <w:proofErr w:type="spellEnd"/>
      <w:r>
        <w:rPr>
          <w:lang w:val="el-GR"/>
        </w:rPr>
        <w:t xml:space="preserve"> παρελθοντικού φόβου από την ακριβή αντίληψη μιας συνεχιζόμενης απειλής.</w:t>
      </w:r>
    </w:p>
    <w:p w14:paraId="79DB68CC" w14:textId="77777777" w:rsidR="00E63D5B" w:rsidRPr="00132066" w:rsidRDefault="001F059D">
      <w:pPr>
        <w:rPr>
          <w:lang w:val="el-GR"/>
        </w:rPr>
      </w:pPr>
      <w:r>
        <w:rPr>
          <w:lang w:val="el-GR"/>
        </w:rPr>
        <w:t>Συναφής είναι η έννοια του τραυματικού δεσμού, η οποία περιγράφει την ενίσχυση της συναισθηματικής προσκόλλησης υπό συνθήκες μεγάλης ανισορροπίας ισχύος και διαλείπουσας εναλλαγής κακοποίησης και θετικών συμπεριφορών (</w:t>
      </w:r>
      <w:r>
        <w:t>Dutton</w:t>
      </w:r>
      <w:r>
        <w:rPr>
          <w:lang w:val="el-GR"/>
        </w:rPr>
        <w:t xml:space="preserve"> &amp; </w:t>
      </w:r>
      <w:r>
        <w:t>Painter</w:t>
      </w:r>
      <w:r>
        <w:rPr>
          <w:lang w:val="el-GR"/>
        </w:rPr>
        <w:t xml:space="preserve">, 1993). Η έννοια μπορεί να φωτίσει μέρος της εμπειρίας ορισμένων γυναικών, αλλά δεν αποτελεί διάγνωση ούτε συνολική εξήγηση της παραμονής στη σχέση. Η αποκλειστική εστίαση σε </w:t>
      </w:r>
      <w:proofErr w:type="spellStart"/>
      <w:r>
        <w:rPr>
          <w:lang w:val="el-GR"/>
        </w:rPr>
        <w:t>ενδοψυχικούς</w:t>
      </w:r>
      <w:proofErr w:type="spellEnd"/>
      <w:r>
        <w:rPr>
          <w:lang w:val="el-GR"/>
        </w:rPr>
        <w:t xml:space="preserve"> μηχανισμούς κινδυνεύει να αποκρύψει την έλλειψη ασφαλούς στέγασης, την οικονομική εξάρτηση, τις απειλές κατά των παιδιών και τη θεσμική αδράνεια. Η καταλληλότερη ερώτηση δεν είναι απλώς «γιατί δεν έφυγε;», αλλά ποιες συνθήκες περιόρισαν τη δυνατότητα ασφαλούς αποχώρησης και ποιες στρατηγικές επιβίωσης ανέπτυξαν οι επιζώσες (</w:t>
      </w:r>
      <w:r>
        <w:t>Lempert</w:t>
      </w:r>
      <w:r>
        <w:rPr>
          <w:lang w:val="el-GR"/>
        </w:rPr>
        <w:t>, 1996).</w:t>
      </w:r>
    </w:p>
    <w:p w14:paraId="7150665F" w14:textId="77777777" w:rsidR="00E63D5B" w:rsidRPr="00132066" w:rsidRDefault="001F059D">
      <w:pPr>
        <w:rPr>
          <w:lang w:val="el-GR"/>
        </w:rPr>
      </w:pPr>
      <w:r>
        <w:rPr>
          <w:lang w:val="el-GR"/>
        </w:rPr>
        <w:t xml:space="preserve">Το μοντέλο αποκατάστασης της </w:t>
      </w:r>
      <w:r>
        <w:t>Herman</w:t>
      </w:r>
      <w:r>
        <w:rPr>
          <w:lang w:val="el-GR"/>
        </w:rPr>
        <w:t xml:space="preserve"> οργανώνει τη θεραπευτική πορεία γύρω από την εγκαθίδρυση ασφάλειας, την ενθύμηση και το πένθος και, ακολούθως, την επανασύνδεση με τον εαυτό και την κοινωνική ζωή. Στη νεότερη διατύπωση προστίθεται η διάσταση της δικαιοσύνης, η οποία μεταφέρει μέρος του βάρους από την ατομική προσαρμογή στην κοινωνική αναγνώριση, τη λογοδοσία και την αποκατάσταση (</w:t>
      </w:r>
      <w:r>
        <w:t>Herman</w:t>
      </w:r>
      <w:r>
        <w:rPr>
          <w:lang w:val="el-GR"/>
        </w:rPr>
        <w:t>, 1992, 2023). Το μοντέλο αυτό αποτέλεσε βασικό πλαίσιο ερμηνείας των ευρημάτων της παρούσας έρευνας.</w:t>
      </w:r>
    </w:p>
    <w:p w14:paraId="34744BEA" w14:textId="77777777" w:rsidR="00E63D5B" w:rsidRPr="00132066" w:rsidRDefault="001F059D">
      <w:pPr>
        <w:rPr>
          <w:lang w:val="el-GR"/>
        </w:rPr>
      </w:pPr>
      <w:r>
        <w:rPr>
          <w:lang w:val="el-GR"/>
        </w:rPr>
        <w:t xml:space="preserve">Οι γνωστικές και </w:t>
      </w:r>
      <w:proofErr w:type="spellStart"/>
      <w:r>
        <w:rPr>
          <w:lang w:val="el-GR"/>
        </w:rPr>
        <w:t>συμπεριφορικές</w:t>
      </w:r>
      <w:proofErr w:type="spellEnd"/>
      <w:r>
        <w:rPr>
          <w:lang w:val="el-GR"/>
        </w:rPr>
        <w:t xml:space="preserve"> θεωρίες εξετάζουν τους τρόπους με τους οποίους η βία μαθαίνεται, ενισχύεται και διατηρείται. Σύμφωνα με τη θεωρία της κοινωνικής μάθησης, η παρατήρηση ότι η βία επιφέρει συμμόρφωση χωρίς ουσιαστικές συνέπειες μπορεί να την καταστήσει διαθέσιμο μέσο άσκησης ισχύος και να ενισχύσει στερεοτυπικούς </w:t>
      </w:r>
      <w:proofErr w:type="spellStart"/>
      <w:r>
        <w:rPr>
          <w:lang w:val="el-GR"/>
        </w:rPr>
        <w:t>έμφυλους</w:t>
      </w:r>
      <w:proofErr w:type="spellEnd"/>
      <w:r>
        <w:rPr>
          <w:lang w:val="el-GR"/>
        </w:rPr>
        <w:t xml:space="preserve"> ρόλους (</w:t>
      </w:r>
      <w:r>
        <w:t>Bandura</w:t>
      </w:r>
      <w:r>
        <w:rPr>
          <w:lang w:val="el-GR"/>
        </w:rPr>
        <w:t xml:space="preserve">, 1977). Η παιδική έκθεση αποτελεί, ωστόσο, παράγοντα κινδύνου και όχι αναπόφευκτη αιτία μελλοντικής βίας. Η θεωρία της αντιδραστικής επιθετικότητας εξηγεί κυρίως παρορμητικές εκρήξεις που ακολουθούν </w:t>
      </w:r>
      <w:r>
        <w:rPr>
          <w:lang w:val="el-GR"/>
        </w:rPr>
        <w:lastRenderedPageBreak/>
        <w:t>αντιλαμβανόμενη απειλή ή απόρριψη, αλλά όχι επαρκώς τη σχεδιασμένη, επιλεκτική και συντελεστική βία, όπως ο οικονομικός έλεγχος και η συστηματική παρακολούθηση (</w:t>
      </w:r>
      <w:r>
        <w:t>Dodge</w:t>
      </w:r>
      <w:r>
        <w:rPr>
          <w:lang w:val="el-GR"/>
        </w:rPr>
        <w:t xml:space="preserve">, 1991· </w:t>
      </w:r>
      <w:r>
        <w:t>Crick</w:t>
      </w:r>
      <w:r>
        <w:rPr>
          <w:lang w:val="el-GR"/>
        </w:rPr>
        <w:t xml:space="preserve"> &amp; </w:t>
      </w:r>
      <w:r>
        <w:t>Dodge</w:t>
      </w:r>
      <w:r>
        <w:rPr>
          <w:lang w:val="el-GR"/>
        </w:rPr>
        <w:t xml:space="preserve">, 1996). Αντίστοιχα, η θεωρία της μαθημένης </w:t>
      </w:r>
      <w:proofErr w:type="spellStart"/>
      <w:r>
        <w:rPr>
          <w:lang w:val="el-GR"/>
        </w:rPr>
        <w:t>αβοηθητότητας</w:t>
      </w:r>
      <w:proofErr w:type="spellEnd"/>
      <w:r>
        <w:rPr>
          <w:lang w:val="el-GR"/>
        </w:rPr>
        <w:t xml:space="preserve"> περιγράφει τη διάβρωση της προσδοκίας ότι μια ενέργεια μπορεί να επιφέρει αποτέλεσμα, έχει όμως επικριθεί επειδή ενδέχεται να παρουσιάζει τις γυναίκες ως παθητικές. Η θεωρία επιβίωσης αντιτείνει ότι οι επιζώσες αναζητούν ενεργά ασφάλεια, αλλά οι προσπάθειές τους συχνά ακυρώνονται από τον δράστη ή από ανεπαρκείς θεσμικές αποκρίσεις (</w:t>
      </w:r>
      <w:r>
        <w:t>Gondolf</w:t>
      </w:r>
      <w:r>
        <w:rPr>
          <w:lang w:val="el-GR"/>
        </w:rPr>
        <w:t xml:space="preserve"> &amp; </w:t>
      </w:r>
      <w:r>
        <w:t>Fisher</w:t>
      </w:r>
      <w:r>
        <w:rPr>
          <w:lang w:val="el-GR"/>
        </w:rPr>
        <w:t>, 1988).</w:t>
      </w:r>
    </w:p>
    <w:p w14:paraId="6C911E28" w14:textId="40E69275" w:rsidR="00E63D5B" w:rsidRPr="00132066" w:rsidRDefault="001F059D">
      <w:pPr>
        <w:rPr>
          <w:lang w:val="el-GR"/>
        </w:rPr>
      </w:pPr>
      <w:r>
        <w:rPr>
          <w:lang w:val="el-GR"/>
        </w:rPr>
        <w:t>Οι κοινωνικές θεωρίες αναδεικνύουν τον ρόλο της ισχύος, των πόρων, των κοινωνικών κυρώσεων, του στρες και της απομόνωσης, λειτουργώντας ως γέφυρα μεταξύ ατομικών και δομικών ερμηνειών (</w:t>
      </w:r>
      <w:r>
        <w:t>Goode</w:t>
      </w:r>
      <w:r>
        <w:rPr>
          <w:lang w:val="el-GR"/>
        </w:rPr>
        <w:t xml:space="preserve">, 1971 </w:t>
      </w:r>
      <w:r>
        <w:t>Hyde</w:t>
      </w:r>
      <w:r>
        <w:rPr>
          <w:lang w:val="el-GR"/>
        </w:rPr>
        <w:t>-</w:t>
      </w:r>
      <w:r>
        <w:t>Nolan</w:t>
      </w:r>
      <w:r>
        <w:rPr>
          <w:lang w:val="el-GR"/>
        </w:rPr>
        <w:t xml:space="preserve"> &amp; </w:t>
      </w:r>
      <w:r>
        <w:t>Juliao</w:t>
      </w:r>
      <w:r>
        <w:rPr>
          <w:lang w:val="el-GR"/>
        </w:rPr>
        <w:t>, 2012). Όταν η βία επιφέρει συμμόρφωση και το αναμενόμενο κοινωνικό ή νομικό κόστος είναι χαμηλό, διευκολύνεται η συνέχισή της (</w:t>
      </w:r>
      <w:r>
        <w:t>Gelles</w:t>
      </w:r>
      <w:r>
        <w:rPr>
          <w:lang w:val="el-GR"/>
        </w:rPr>
        <w:t>, 1983). Η άνιση πρόσβαση σε οικονομικούς και κοινωνικούς πόρους μπορεί να περιορίζει την αυτονομία των γυναικών ή να επιτρέπει στον δράστη να χρησιμοποιεί το εισόδημα, το κύρος και τις θεσμικές διασυνδέσεις του για οικονομική ή δικαστική πίεση. Εξωτερικές πιέσεις, όπως η ανεργία, η οικονομική δυσχέρεια και η στεγαστική ανασφάλεια, μπορούν να εντείνουν τη σύγκρουση και την εξάρτηση, αλλά δεν προκαλούν αυτομάτως βία ούτε αναιρούν την ευθύνη του δράστη.</w:t>
      </w:r>
    </w:p>
    <w:p w14:paraId="163ECFAE" w14:textId="77777777" w:rsidR="00E63D5B" w:rsidRPr="00132066" w:rsidRDefault="001F059D">
      <w:pPr>
        <w:rPr>
          <w:lang w:val="el-GR"/>
        </w:rPr>
      </w:pPr>
      <w:r>
        <w:rPr>
          <w:lang w:val="el-GR"/>
        </w:rPr>
        <w:t>Τέλος, οι οικογενειακές και συστημικές θεωρίες εξετάζουν τη βία μέσα στο πλέγμα των οικογενειακών ρόλων, ορίων, συμμαχιών και μεταβάσεων, όπως η εγκυμοσύνη, η γέννηση παιδιού, η μετανάστευση και ο χωρισμός (</w:t>
      </w:r>
      <w:r>
        <w:t>Minuchin</w:t>
      </w:r>
      <w:r>
        <w:rPr>
          <w:lang w:val="el-GR"/>
        </w:rPr>
        <w:t>, 1974·</w:t>
      </w:r>
      <w:r>
        <w:t>Carter</w:t>
      </w:r>
      <w:r>
        <w:rPr>
          <w:lang w:val="el-GR"/>
        </w:rPr>
        <w:t xml:space="preserve"> &amp; </w:t>
      </w:r>
      <w:r>
        <w:t>McGoldrick</w:t>
      </w:r>
      <w:r>
        <w:rPr>
          <w:lang w:val="el-GR"/>
        </w:rPr>
        <w:t>, 1999). Βοηθούν στην κατανόηση του τρόπου με τον οποίο η βία επηρεάζει το σύνολο της οικογένειας και εμπλέκει τα παιδιά σε ρόλους προστασίας, διαμεσολάβησης ή συμμαχίας. Η φεμινιστική κριτική επισημαίνει, ωστόσο, ότι η έμφαση στην αλληλεπίδραση και στην κυκλική αιτιότητα δεν πρέπει να μετατρέπει τη συστηματική κακοποίηση σε «δυσλειτουργική επικοινωνία του ζευγαριού», αποκρύπτοντας την ασυμμετρία ισχύος και διαχέοντας την ευθύνη (</w:t>
      </w:r>
      <w:r>
        <w:t>Bograd</w:t>
      </w:r>
      <w:r>
        <w:rPr>
          <w:lang w:val="el-GR"/>
        </w:rPr>
        <w:t>, 1984). Όταν υπάρχει φόβος και εξαναγκαστικός έλεγχος, η θεραπεία ζεύγους δεν αποτελεί αυτονόητη παρέμβαση, καθώς μπορεί να αυξήσει τον κίνδυνο ή να εκθέσει τις αποκαλύψεις των επιζωσών σε αντίποινα (</w:t>
      </w:r>
      <w:r>
        <w:t>Stith</w:t>
      </w:r>
      <w:r>
        <w:rPr>
          <w:lang w:val="el-GR"/>
        </w:rPr>
        <w:t xml:space="preserve"> </w:t>
      </w:r>
      <w:r>
        <w:t>et</w:t>
      </w:r>
      <w:r>
        <w:rPr>
          <w:lang w:val="el-GR"/>
        </w:rPr>
        <w:t xml:space="preserve"> </w:t>
      </w:r>
      <w:r>
        <w:t>al</w:t>
      </w:r>
      <w:r>
        <w:rPr>
          <w:lang w:val="el-GR"/>
        </w:rPr>
        <w:t>., 2003).</w:t>
      </w:r>
    </w:p>
    <w:p w14:paraId="02B21677" w14:textId="77777777" w:rsidR="00E63D5B" w:rsidRPr="00132066" w:rsidRDefault="001F059D">
      <w:pPr>
        <w:rPr>
          <w:lang w:val="el-GR"/>
        </w:rPr>
      </w:pPr>
      <w:r>
        <w:rPr>
          <w:lang w:val="el-GR"/>
        </w:rPr>
        <w:t xml:space="preserve">Το καταλληλότερο συνθετικό πλαίσιο είναι, συνεπώς, </w:t>
      </w:r>
      <w:proofErr w:type="spellStart"/>
      <w:r>
        <w:rPr>
          <w:lang w:val="el-GR"/>
        </w:rPr>
        <w:t>κοινωνικο</w:t>
      </w:r>
      <w:proofErr w:type="spellEnd"/>
      <w:r>
        <w:rPr>
          <w:lang w:val="el-GR"/>
        </w:rPr>
        <w:t>-οικολογικό: συνδέει τις ατομικές αναπτυξιακές διαδρομές και τις δυναμικές της σχέσης με τους κοινοτικούς πόρους, τις θεσμικές αποκρίσεις και τις ευρύτερες έμφυλες δομές (</w:t>
      </w:r>
      <w:r>
        <w:t>Heise</w:t>
      </w:r>
      <w:r>
        <w:rPr>
          <w:lang w:val="el-GR"/>
        </w:rPr>
        <w:t xml:space="preserve">, 1998). Η </w:t>
      </w:r>
      <w:proofErr w:type="spellStart"/>
      <w:r>
        <w:rPr>
          <w:lang w:val="el-GR"/>
        </w:rPr>
        <w:t>πολυπαραγοντική</w:t>
      </w:r>
      <w:proofErr w:type="spellEnd"/>
      <w:r>
        <w:rPr>
          <w:lang w:val="el-GR"/>
        </w:rPr>
        <w:t xml:space="preserve"> κατανόηση της βίας δεν συνεπάγεται κατανομή της ευθύνης μεταξύ δράστη και επιζώσας. Αντίθετα, επιτρέπει να εξεταστούν ταυτόχρονα οι μηχανισμοί άσκησης της βίας, οι συνθήκες που διευκολύνουν τη διατήρησή της, οι επιπτώσεις της και οι δυνατότητες αντίστασης και αποκατάστασης, διατηρώντας σαφώς την ευθύνη στον δράστη.</w:t>
      </w:r>
    </w:p>
    <w:p w14:paraId="051474F4" w14:textId="77777777" w:rsidR="00E63D5B" w:rsidRPr="00132066" w:rsidRDefault="001F059D">
      <w:pPr>
        <w:pStyle w:val="3"/>
        <w:rPr>
          <w:lang w:val="el-GR"/>
        </w:rPr>
      </w:pPr>
      <w:r>
        <w:rPr>
          <w:lang w:val="el-GR"/>
        </w:rPr>
        <w:t>Η θεωρία του ψυχικού τραύματος και το σύνθετο τραύμα</w:t>
      </w:r>
    </w:p>
    <w:p w14:paraId="7CD75E13" w14:textId="688D5710" w:rsidR="00E63D5B" w:rsidRPr="00132066" w:rsidRDefault="001F059D">
      <w:pPr>
        <w:rPr>
          <w:lang w:val="el-GR"/>
        </w:rPr>
      </w:pPr>
      <w:r>
        <w:rPr>
          <w:lang w:val="el-GR"/>
        </w:rPr>
        <w:t xml:space="preserve">Η θεωρία του ψυχικού τραύματος της </w:t>
      </w:r>
      <w:r>
        <w:t>Herman</w:t>
      </w:r>
      <w:r>
        <w:rPr>
          <w:lang w:val="el-GR"/>
        </w:rPr>
        <w:t xml:space="preserve"> (1992), όπως διευρύνθηκε από τη μελέτη των σύνθετων </w:t>
      </w:r>
      <w:proofErr w:type="spellStart"/>
      <w:r>
        <w:rPr>
          <w:lang w:val="el-GR"/>
        </w:rPr>
        <w:t>μετατραυματικών</w:t>
      </w:r>
      <w:proofErr w:type="spellEnd"/>
      <w:r>
        <w:rPr>
          <w:lang w:val="el-GR"/>
        </w:rPr>
        <w:t xml:space="preserve"> αντιδράσεων (</w:t>
      </w:r>
      <w:r>
        <w:t>Courtois</w:t>
      </w:r>
      <w:r>
        <w:rPr>
          <w:lang w:val="el-GR"/>
        </w:rPr>
        <w:t>, 2004·</w:t>
      </w:r>
      <w:r>
        <w:t>Van</w:t>
      </w:r>
      <w:r>
        <w:rPr>
          <w:lang w:val="el-GR"/>
        </w:rPr>
        <w:t xml:space="preserve"> </w:t>
      </w:r>
      <w:r>
        <w:t>der</w:t>
      </w:r>
      <w:r>
        <w:rPr>
          <w:lang w:val="el-GR"/>
        </w:rPr>
        <w:t xml:space="preserve"> </w:t>
      </w:r>
      <w:r>
        <w:t>Kolk</w:t>
      </w:r>
      <w:r>
        <w:rPr>
          <w:lang w:val="el-GR"/>
        </w:rPr>
        <w:t xml:space="preserve"> </w:t>
      </w:r>
      <w:r>
        <w:t>et</w:t>
      </w:r>
      <w:r>
        <w:rPr>
          <w:lang w:val="el-GR"/>
        </w:rPr>
        <w:t xml:space="preserve"> </w:t>
      </w:r>
      <w:r>
        <w:t>al</w:t>
      </w:r>
      <w:r>
        <w:rPr>
          <w:lang w:val="el-GR"/>
        </w:rPr>
        <w:t>., 2005), προσφέρει ένα θεμελιώδες πλαίσιο για την κατανόηση των συνεπειών της παρατεταμένης και επαναλαμβανόμενης ενδοοικογενειακής βίας. Σε αντίθεση με ένα μεμονωμένο ή χρονικά περιορισμένο τραυματικό συμβάν, το σύνθετο τραύμα (</w:t>
      </w:r>
      <w:r>
        <w:t>complex</w:t>
      </w:r>
      <w:r>
        <w:rPr>
          <w:lang w:val="el-GR"/>
        </w:rPr>
        <w:t xml:space="preserve"> </w:t>
      </w:r>
      <w:r>
        <w:t>trauma</w:t>
      </w:r>
      <w:r>
        <w:rPr>
          <w:lang w:val="el-GR"/>
        </w:rPr>
        <w:t>) προκύπτει από χρόνια έκθεση σε συνθήκες απειλής, εγκλωβισμού και εξαναγκαστικού ελέγχου. Η διάκριση αυτή είναι ιδιαίτερα σημαντική, καθώς η ενδοοικογενειακή βία δεν αποτελεί συνήθως ένα μεμονωμένο γεγονός, αλλά ένα επαναλαμβανόμενο και σωρευτικό μοτίβο σωματικής, σεξουαλικής και ψυχολογικής βίας, απειλών και ελέγχου.</w:t>
      </w:r>
    </w:p>
    <w:p w14:paraId="6D4100E4" w14:textId="1151E25F" w:rsidR="00E63D5B" w:rsidRPr="00132066" w:rsidRDefault="001F059D">
      <w:pPr>
        <w:rPr>
          <w:lang w:val="el-GR"/>
        </w:rPr>
      </w:pPr>
      <w:r>
        <w:rPr>
          <w:lang w:val="el-GR"/>
        </w:rPr>
        <w:lastRenderedPageBreak/>
        <w:t>Η ενδοοικογενειακή βία διαπράττεται από ένα πρόσωπο με το οποίο οι επιζώσες διατηρούν ή διατηρούσαν σχέση συναισθηματικής εγγύτητας, εμπιστοσύνης και, συχνά, πρακτικής, οικονομικής ή γονεϊκής αλληλεξάρτησης. Το τραυματικό της αποτύπωμα δεν προκύπτει μόνο από τα επιμέρους βίαια περιστατικά, αλλά και από τη συνεχή αναμονή της επόμενης επίθεσης, την επιτήρηση, την υποτίμηση, την απομόνωση και τη σταδιακή αποδυνάμωση της αυτονομίας. Η εξάρτηση από το ίδιο πρόσωπο που αποτελεί πηγή τόσο συναισθηματικής σύνδεσης όσο και κινδύνου εντείνει τη σύνθετη φύση της τραυματικής εμπειρίας (</w:t>
      </w:r>
      <w:r>
        <w:t>Herman</w:t>
      </w:r>
      <w:r>
        <w:rPr>
          <w:lang w:val="el-GR"/>
        </w:rPr>
        <w:t>, 1992·</w:t>
      </w:r>
      <w:r>
        <w:t>Pill</w:t>
      </w:r>
      <w:r>
        <w:rPr>
          <w:lang w:val="el-GR"/>
        </w:rPr>
        <w:t xml:space="preserve"> </w:t>
      </w:r>
      <w:r>
        <w:t>et</w:t>
      </w:r>
      <w:r>
        <w:rPr>
          <w:lang w:val="el-GR"/>
        </w:rPr>
        <w:t xml:space="preserve"> </w:t>
      </w:r>
      <w:r>
        <w:t>al</w:t>
      </w:r>
      <w:r>
        <w:rPr>
          <w:lang w:val="el-GR"/>
        </w:rPr>
        <w:t>., 2017).</w:t>
      </w:r>
    </w:p>
    <w:p w14:paraId="71CC2170" w14:textId="77777777" w:rsidR="00E63D5B" w:rsidRPr="00132066" w:rsidRDefault="001F059D">
      <w:pPr>
        <w:rPr>
          <w:lang w:val="el-GR"/>
        </w:rPr>
      </w:pPr>
      <w:r>
        <w:rPr>
          <w:lang w:val="el-GR"/>
        </w:rPr>
        <w:t>Η θεωρία της προδοσίας του τραύματος (</w:t>
      </w:r>
      <w:r>
        <w:t>betrayal</w:t>
      </w:r>
      <w:r>
        <w:rPr>
          <w:lang w:val="el-GR"/>
        </w:rPr>
        <w:t xml:space="preserve"> </w:t>
      </w:r>
      <w:r>
        <w:t>trauma</w:t>
      </w:r>
      <w:r>
        <w:rPr>
          <w:lang w:val="el-GR"/>
        </w:rPr>
        <w:t xml:space="preserve"> </w:t>
      </w:r>
      <w:r>
        <w:t>theory</w:t>
      </w:r>
      <w:r>
        <w:rPr>
          <w:lang w:val="el-GR"/>
        </w:rPr>
        <w:t xml:space="preserve">) που ανέπτυξε η </w:t>
      </w:r>
      <w:r>
        <w:t>Freyd</w:t>
      </w:r>
      <w:r>
        <w:rPr>
          <w:lang w:val="el-GR"/>
        </w:rPr>
        <w:t xml:space="preserve"> (1996, 1997) προσφέρει ένα κρίσιμο ερμηνευτικό πρίσμα για την κατανόηση της τραυματικής συμπτωματολογίας που ακολουθεί την ενδοοικογενειακή βία. Σύμφωνα με τη θεωρία αυτή, η κακοποίηση εντός μιας στενής σχέσης συνιστά εγγενώς μια διαπροσωπική προδοσία, καθώς ο δράστης, συχνά και ο ίδιος πρόσωπο δεσμού, όχι μόνο αποτυγχάνει να παρέχει υποστήριξη και ασφάλεια, αλλά μετατρέπεται ο ίδιος στην πηγή της απειλής και του κινδύνου. Η συνθήκη αυτή μπορεί να οδηγήσει σε μια κατάσταση «τύφλωσης απέναντι στην προδοσία» (</w:t>
      </w:r>
      <w:r>
        <w:t>betrayal</w:t>
      </w:r>
      <w:r>
        <w:rPr>
          <w:lang w:val="el-GR"/>
        </w:rPr>
        <w:t xml:space="preserve"> </w:t>
      </w:r>
      <w:r>
        <w:t>blindness</w:t>
      </w:r>
      <w:r>
        <w:rPr>
          <w:lang w:val="el-GR"/>
        </w:rPr>
        <w:t>), κατά την οποία η κακοποίηση καθίσταται μη αναγνωρίσιμη από τα θύματα, καθώς η αναγνώρισή της θα έθετε σε κίνδυνο την ίδια τη σχέση από την οποία εξαρτώνται (</w:t>
      </w:r>
      <w:r>
        <w:t>Freyd</w:t>
      </w:r>
      <w:r>
        <w:rPr>
          <w:lang w:val="el-GR"/>
        </w:rPr>
        <w:t xml:space="preserve">, 1997). Υπό αυτές τις συνθήκες, τα θύματα τείνουν συχνά να αποσυνδέονται από την επώδυνη εμπειρία ως τρόπο διαφύλαξης του απαραίτητου δεσμού προσκόλλησης, ενώ ταυτόχρονα υφίστανται τις σοβαρές συνέπειες της κακοποίησης. Η δυναμική αυτή οδηγεί σε ποικίλες επιβλαβείς εκβάσεις, με την τραυματική συμπτωματολογία να αποτελεί μία εξ αυτών. Η εμπειρική έρευνα έχει τεκμηριώσει το μοντέλο αυτό, αναδεικνύοντας υψηλότερο </w:t>
      </w:r>
      <w:proofErr w:type="spellStart"/>
      <w:r>
        <w:rPr>
          <w:lang w:val="el-GR"/>
        </w:rPr>
        <w:t>επιπολασμό</w:t>
      </w:r>
      <w:proofErr w:type="spellEnd"/>
      <w:r>
        <w:rPr>
          <w:lang w:val="el-GR"/>
        </w:rPr>
        <w:t xml:space="preserve"> αποσύνδεσης, καθώς και σωματικών και ψυχικών δυσκολιών σε επιζώσες διαπροσωπικού τραύματος.</w:t>
      </w:r>
    </w:p>
    <w:p w14:paraId="3F2BB435" w14:textId="77777777" w:rsidR="00E63D5B" w:rsidRPr="00132066" w:rsidRDefault="001F059D">
      <w:pPr>
        <w:rPr>
          <w:lang w:val="el-GR"/>
        </w:rPr>
      </w:pPr>
      <w:r>
        <w:rPr>
          <w:lang w:val="el-GR"/>
        </w:rPr>
        <w:t xml:space="preserve">Η παρατεταμένη διαπροσωπική κακοποίηση μπορεί να επηρεάσει τη μνήμη, τη συναισθηματική και σωματική ρύθμιση, την εικόνα του εαυτού, την εμπιστοσύνη και τις διαπροσωπικές σχέσεις, προκαλώντας σύνθετες αντιδράσεις που υπερβαίνουν τα κλασικά συμπτώματα της διαταραχής </w:t>
      </w:r>
      <w:proofErr w:type="spellStart"/>
      <w:r>
        <w:rPr>
          <w:lang w:val="el-GR"/>
        </w:rPr>
        <w:t>μετατραυματικού</w:t>
      </w:r>
      <w:proofErr w:type="spellEnd"/>
      <w:r>
        <w:rPr>
          <w:lang w:val="el-GR"/>
        </w:rPr>
        <w:t xml:space="preserve"> στρες. Οι </w:t>
      </w:r>
      <w:r>
        <w:t>Van</w:t>
      </w:r>
      <w:r>
        <w:rPr>
          <w:lang w:val="el-GR"/>
        </w:rPr>
        <w:t xml:space="preserve"> </w:t>
      </w:r>
      <w:r>
        <w:t>der</w:t>
      </w:r>
      <w:r>
        <w:rPr>
          <w:lang w:val="el-GR"/>
        </w:rPr>
        <w:t xml:space="preserve"> </w:t>
      </w:r>
      <w:r>
        <w:t>Kolk</w:t>
      </w:r>
      <w:r>
        <w:rPr>
          <w:lang w:val="el-GR"/>
        </w:rPr>
        <w:t xml:space="preserve"> και συν. (2005) επισήμαναν ότι η χρόνια έκθεση σε διαπροσωπικό τραύμα μπορεί να συνδέεται με ένα ευρύτερο πρότυπο δυσκολιών στη ρύθμιση του συναισθήματος και των παρορμήσεων, στην προσοχή και τη συνείδηση, στην αυτοαντίληψη, στις σχέσεις και στα συστήματα </w:t>
      </w:r>
      <w:proofErr w:type="spellStart"/>
      <w:r>
        <w:rPr>
          <w:lang w:val="el-GR"/>
        </w:rPr>
        <w:t>νοηματοδότησης</w:t>
      </w:r>
      <w:proofErr w:type="spellEnd"/>
      <w:r>
        <w:rPr>
          <w:lang w:val="el-GR"/>
        </w:rPr>
        <w:t xml:space="preserve">. Αντίστοιχα, η </w:t>
      </w:r>
      <w:r>
        <w:t>Courtois</w:t>
      </w:r>
      <w:r>
        <w:rPr>
          <w:lang w:val="el-GR"/>
        </w:rPr>
        <w:t xml:space="preserve"> (2004) υποστήριξε ότι οι σύνθετες τραυματικές εμπειρίες παράγουν σύνθετες και ετερογενείς αντιδράσεις, οι οποίες απαιτούν πολυδιάστατη αξιολόγηση και σταδιακή, σχεσιακά προσανατολισμένη αντιμετώπιση.</w:t>
      </w:r>
    </w:p>
    <w:p w14:paraId="0AAD2C19" w14:textId="0D661D06" w:rsidR="00E63D5B" w:rsidRPr="00132066" w:rsidRDefault="001F059D">
      <w:pPr>
        <w:rPr>
          <w:lang w:val="el-GR"/>
        </w:rPr>
      </w:pPr>
      <w:r>
        <w:rPr>
          <w:lang w:val="el-GR"/>
        </w:rPr>
        <w:t xml:space="preserve">Το σύνθετο τραύμα αναφέρεται πρωτίστως στη φύση και στις συνθήκες της τραυματικής έκθεσης και δεν πρέπει να ταυτίζεται αυτομάτως με τη σύνθετη διαταραχή </w:t>
      </w:r>
      <w:proofErr w:type="spellStart"/>
      <w:r>
        <w:rPr>
          <w:lang w:val="el-GR"/>
        </w:rPr>
        <w:t>μετατραυματικού</w:t>
      </w:r>
      <w:proofErr w:type="spellEnd"/>
      <w:r>
        <w:rPr>
          <w:lang w:val="el-GR"/>
        </w:rPr>
        <w:t xml:space="preserve"> στρες, η οποία αποτελεί συγκεκριμένη διαγνωστική κατηγορία. Δεν αναπτύσσουν όλες οι επιζώσες παρατεταμένης ενδοοικογενειακής βίας ΔΜΤΣ ή σύνθετη ΔΜΤΣ. Οι αντιδράσεις διαφοροποιούνται ανάλογα με τη διάρκεια και τη σοβαρότητα της βίας, τις προηγούμενες τραυματικές εμπειρίες, την οικονομική και κοινωνική εξάρτηση, την ύπαρξη παιδιών, τους διαθέσιμους προστατευτικούς πόρους και την ανταπόκριση του οικογενειακού, κοινωνικού και θεσμικού περιβάλλοντος. Η έννοια του σύνθετου τραύματος επιτρέπει, ωστόσο, την κατανόηση ενός ευρύτερου φάσματος ψυχολογικών, σωματικών και σχεσιακών επιπτώσεων πέρα από την τυπική </w:t>
      </w:r>
      <w:proofErr w:type="spellStart"/>
      <w:r>
        <w:rPr>
          <w:lang w:val="el-GR"/>
        </w:rPr>
        <w:t>μετατραυματική</w:t>
      </w:r>
      <w:proofErr w:type="spellEnd"/>
      <w:r>
        <w:rPr>
          <w:lang w:val="el-GR"/>
        </w:rPr>
        <w:t xml:space="preserve"> συμπτωματολογία (</w:t>
      </w:r>
      <w:r>
        <w:t>Courtois</w:t>
      </w:r>
      <w:r>
        <w:rPr>
          <w:lang w:val="el-GR"/>
        </w:rPr>
        <w:t>, 2004·</w:t>
      </w:r>
      <w:r>
        <w:t>Van</w:t>
      </w:r>
      <w:r>
        <w:rPr>
          <w:lang w:val="el-GR"/>
        </w:rPr>
        <w:t xml:space="preserve"> </w:t>
      </w:r>
      <w:r>
        <w:t>der</w:t>
      </w:r>
      <w:r>
        <w:rPr>
          <w:lang w:val="el-GR"/>
        </w:rPr>
        <w:t xml:space="preserve"> </w:t>
      </w:r>
      <w:r>
        <w:t>Kolk</w:t>
      </w:r>
      <w:r>
        <w:rPr>
          <w:lang w:val="el-GR"/>
        </w:rPr>
        <w:t xml:space="preserve"> </w:t>
      </w:r>
      <w:r>
        <w:t>et</w:t>
      </w:r>
      <w:r>
        <w:rPr>
          <w:lang w:val="el-GR"/>
        </w:rPr>
        <w:t xml:space="preserve"> </w:t>
      </w:r>
      <w:r>
        <w:t>al</w:t>
      </w:r>
      <w:r>
        <w:rPr>
          <w:lang w:val="el-GR"/>
        </w:rPr>
        <w:t>., 2005).</w:t>
      </w:r>
    </w:p>
    <w:p w14:paraId="30818291" w14:textId="77777777" w:rsidR="00E63D5B" w:rsidRPr="00132066" w:rsidRDefault="001F059D">
      <w:pPr>
        <w:rPr>
          <w:lang w:val="el-GR"/>
        </w:rPr>
      </w:pPr>
      <w:r>
        <w:rPr>
          <w:lang w:val="el-GR"/>
        </w:rPr>
        <w:t xml:space="preserve">Η προσέγγιση της ενδοοικογενειακής βίας υπό το πρίσμα του ψυχικού τραύματος εξετάζει τον τρόπο με τον οποίο η επαναλαμβανόμενη έκθεση στην κακοποίηση αναδιοργανώνει την αίσθηση ασφάλειας, την επεξεργασία των απειλητικών ερεθισμάτων, τις λειτουργίες της μνήμης και τις </w:t>
      </w:r>
      <w:r>
        <w:rPr>
          <w:lang w:val="el-GR"/>
        </w:rPr>
        <w:lastRenderedPageBreak/>
        <w:t>ψυχοφυσιολογικές αντιδράσεις επιβίωσης (</w:t>
      </w:r>
      <w:r>
        <w:t>Van</w:t>
      </w:r>
      <w:r>
        <w:rPr>
          <w:lang w:val="el-GR"/>
        </w:rPr>
        <w:t xml:space="preserve"> </w:t>
      </w:r>
      <w:r>
        <w:t>der</w:t>
      </w:r>
      <w:r>
        <w:rPr>
          <w:lang w:val="el-GR"/>
        </w:rPr>
        <w:t xml:space="preserve"> </w:t>
      </w:r>
      <w:r>
        <w:t>Kolk</w:t>
      </w:r>
      <w:r>
        <w:rPr>
          <w:lang w:val="el-GR"/>
        </w:rPr>
        <w:t xml:space="preserve">, 2014). Η χρόνια έκθεση σε απρόβλεπτο και δυνητικά κλιμακούμενο κίνδυνο είναι δυνατόν να διατηρεί το αμυντικό σύστημα του οργανισμού σε κατάσταση παρατεταμένης ενεργοποίησης. Στο πλαίσιο αυτό, οι επιζώσες ενδέχεται να παρακολουθούν συστηματικά τον τόνο της φωνής, τις κινήσεις, τις εκφράσεις του προσώπου και τις μεταβολές της διάθεσης του δράστη, προκειμένου να εντοπίσει έγκαιρα ενδείξεις επικείμενης κλιμάκωσης. Επομένως, η </w:t>
      </w:r>
      <w:proofErr w:type="spellStart"/>
      <w:r>
        <w:rPr>
          <w:lang w:val="el-GR"/>
        </w:rPr>
        <w:t>υπερεπαγρύπνηση</w:t>
      </w:r>
      <w:proofErr w:type="spellEnd"/>
      <w:r>
        <w:rPr>
          <w:lang w:val="el-GR"/>
        </w:rPr>
        <w:t>, η ενισχυμένη αντίδραση αιφνιδιασμού, η ευερεθιστότητα, οι διαταραχές του ύπνου και οι δυσκολίες συγκέντρωσης δεν είναι επαρκείς ενδείξεις για να ερμηνεύονται αποκλειστικά ως εκδηλώσεις ατομικής ψυχοπαθολογίας (</w:t>
      </w:r>
      <w:r>
        <w:t>Herman</w:t>
      </w:r>
      <w:r>
        <w:rPr>
          <w:lang w:val="el-GR"/>
        </w:rPr>
        <w:t>, 1992). Αποτελούν κατανοητές προσαρμοστικές αποκρίσεις σε ένα περιβάλλον επίμονης απειλής, οι οποίες, κατά τη διάρκεια της κακοποίησης, ενδέχεται να επιτελούν προστατευτική λειτουργία, καθώς η έγκαιρη αναγνώριση του κινδύνου μπορεί να συμβάλει στον περιορισμό της βλάβης.</w:t>
      </w:r>
    </w:p>
    <w:p w14:paraId="737AB317" w14:textId="21741FBC" w:rsidR="00E63D5B" w:rsidRPr="00132066" w:rsidRDefault="001F059D">
      <w:pPr>
        <w:rPr>
          <w:lang w:val="el-GR"/>
        </w:rPr>
      </w:pPr>
      <w:r>
        <w:rPr>
          <w:lang w:val="el-GR"/>
        </w:rPr>
        <w:t xml:space="preserve">Στη θεωρητική προσέγγιση της </w:t>
      </w:r>
      <w:r>
        <w:t>Herman</w:t>
      </w:r>
      <w:r>
        <w:rPr>
          <w:lang w:val="el-GR"/>
        </w:rPr>
        <w:t xml:space="preserve"> (1992), η παρατεταμένη και επαναλαμβανόμενη </w:t>
      </w:r>
      <w:proofErr w:type="spellStart"/>
      <w:r>
        <w:rPr>
          <w:lang w:val="el-GR"/>
        </w:rPr>
        <w:t>τραυματοποίηση</w:t>
      </w:r>
      <w:proofErr w:type="spellEnd"/>
      <w:r>
        <w:rPr>
          <w:lang w:val="el-GR"/>
        </w:rPr>
        <w:t xml:space="preserve"> συνδέεται συχνά με συνθήκες αιχμαλωσίας, στις οποίες το άτομο αδυνατεί να διαφύγει ή αντιλαμβάνεται ότι η απόπειρα διαφυγής συνεπάγεται σοβαρό κίνδυνο. Στο πλαίσιο της ενδοοικογενειακής βίας, η αιχμαλωσία δεν είναι κατ’ ανάγκην κυριολεκτική ούτε προϋποθέτει φυσικό εγκλεισμό. Μπορεί να συγκροτείται σε ψυχολογικό, κοινωνικό, οικονομικό και θεσμικό επίπεδο μέσω απειλών, οικονομικής εξάρτησης, απομόνωσης από υποστηρικτικά δίκτυα, παρακολούθησης, συστηματικού ελέγχου της καθημερινής ζωής, απειλών κατά των παιδιών και της εύλογης πεποίθησης ότι οποιαδήποτε απόπειρα αποχώρησης θα επιφέρει σοβαρές συνέπειες. Ο εξαναγκαστικός έλεγχος μετασχηματίζει, κατ’ αυτόν τον τρόπο, τη σχέση σε ένα σύστημα εγκλωβισμού, περιορίζοντας σταδιακά τις δυνατότητες αντίστασης, αναζήτησης βοήθειας και αυτόνομης λήψης αποφάσεων (</w:t>
      </w:r>
      <w:r>
        <w:t>Herman</w:t>
      </w:r>
      <w:r>
        <w:rPr>
          <w:lang w:val="el-GR"/>
        </w:rPr>
        <w:t>, 1992·</w:t>
      </w:r>
      <w:r>
        <w:t>Stark</w:t>
      </w:r>
      <w:r>
        <w:rPr>
          <w:lang w:val="el-GR"/>
        </w:rPr>
        <w:t>, 2007).</w:t>
      </w:r>
    </w:p>
    <w:p w14:paraId="45355EF5" w14:textId="77777777" w:rsidR="00E63D5B" w:rsidRPr="00132066" w:rsidRDefault="001F059D">
      <w:pPr>
        <w:rPr>
          <w:lang w:val="el-GR"/>
        </w:rPr>
      </w:pPr>
      <w:r>
        <w:rPr>
          <w:lang w:val="el-GR"/>
        </w:rPr>
        <w:t>Η συγκεκριμένη οπτική μετατοπίζει το ερμηνευτικό ενδιαφέρον από την απλουστευτική και δυνητικά ενοχοποιητική ερώτηση «γιατί δεν έφυγε;» προς τη διερεύνηση των συνθηκών που περιόρισαν τη δυνατότητα ασφαλούς αποχώρησης. Η παραμονή στη σχέση, η προσωρινή επιστροφή ή η δυσκολία καταγγελίας της ενδοοικογενειακής βίας δεν συνιστούν αυτομάτως ενδείξεις παθητικότητας, συναίνεσης ή απουσίας βούλησης για αλλαγή. Αντιθέτως, μπορεί να αποτελούν στρατηγικές επιβίωσης και διαχείρισης ενός πραγματικού και συνεχιζόμενου κινδύνου, ο οποίος συχνά εντείνεται κατά την περίοδο του χωρισμού (</w:t>
      </w:r>
      <w:r>
        <w:t>Lempert</w:t>
      </w:r>
      <w:r>
        <w:rPr>
          <w:lang w:val="el-GR"/>
        </w:rPr>
        <w:t>, 1996). Η κατανόηση των επιλογών των επιζωσών προϋποθέτει, συνεπώς, την εξέταση του πλαισίου μέσα στο οποίο αυτές πραγματοποιούνται, καθώς και των πραγματικών κινδύνων και περιορισμών που τις διαμορφώνουν.</w:t>
      </w:r>
    </w:p>
    <w:p w14:paraId="2B88C289" w14:textId="77777777" w:rsidR="00E63D5B" w:rsidRPr="00132066" w:rsidRDefault="001F059D">
      <w:pPr>
        <w:pStyle w:val="20"/>
        <w:rPr>
          <w:lang w:val="el-GR"/>
        </w:rPr>
      </w:pPr>
      <w:bookmarkStart w:id="12" w:name="_Toc242134417"/>
      <w:r>
        <w:rPr>
          <w:lang w:val="el-GR"/>
        </w:rPr>
        <w:t>2.5 Επιπτώσεις στη σωματική και ψυχική υγεία των γυναικών</w:t>
      </w:r>
      <w:bookmarkEnd w:id="12"/>
    </w:p>
    <w:p w14:paraId="389BB9F7" w14:textId="77777777" w:rsidR="00E63D5B" w:rsidRPr="00132066" w:rsidRDefault="001F059D">
      <w:pPr>
        <w:rPr>
          <w:lang w:val="el-GR"/>
        </w:rPr>
      </w:pPr>
      <w:r>
        <w:rPr>
          <w:lang w:val="el-GR"/>
        </w:rPr>
        <w:t>Η ενδοοικογενειακή βία αποτελεί μείζον πρόβλημα δημόσιας υγείας και συγκαταλέγεται στους σημαντικούς παράγοντες απώλειας ετών υγιούς ζωής παγκοσμίως (</w:t>
      </w:r>
      <w:r>
        <w:t>WHO</w:t>
      </w:r>
      <w:r>
        <w:rPr>
          <w:lang w:val="el-GR"/>
        </w:rPr>
        <w:t>, 2013</w:t>
      </w:r>
      <w:r>
        <w:t>a</w:t>
      </w:r>
      <w:r>
        <w:rPr>
          <w:lang w:val="el-GR"/>
        </w:rPr>
        <w:t>·</w:t>
      </w:r>
      <w:r>
        <w:t>Xiong</w:t>
      </w:r>
      <w:r>
        <w:rPr>
          <w:lang w:val="el-GR"/>
        </w:rPr>
        <w:t xml:space="preserve"> </w:t>
      </w:r>
      <w:r>
        <w:t>et</w:t>
      </w:r>
      <w:r>
        <w:rPr>
          <w:lang w:val="el-GR"/>
        </w:rPr>
        <w:t xml:space="preserve"> </w:t>
      </w:r>
      <w:r>
        <w:t>al</w:t>
      </w:r>
      <w:r>
        <w:rPr>
          <w:lang w:val="el-GR"/>
        </w:rPr>
        <w:t>., 2025). Είναι μία από τις συχνότερες αιτίες τραυματισμού των γυναικών, με μεγάλο μέρος των κακώσεων να εντοπίζεται στην κεφαλή, στο πρόσωπο, στον αυχένα, στον θώρακα και στην κοιλιακή χώρα. Στα τμήματα επειγόντων περιστατικών εκτιμάται ότι 11–30% των τραυματισμένων γυναικών έχουν κακοποιηθεί από σύντροφο (</w:t>
      </w:r>
      <w:r>
        <w:t>Campbell</w:t>
      </w:r>
      <w:r>
        <w:rPr>
          <w:lang w:val="el-GR"/>
        </w:rPr>
        <w:t xml:space="preserve">, 2002). Οι επαναλαμβανόμενοι τραυματισμοί στο κεφάλι και ο μη θανατηφόρος στραγγαλισμός μπορεί να προκαλέσουν αδιάγνωστες </w:t>
      </w:r>
      <w:proofErr w:type="spellStart"/>
      <w:r>
        <w:rPr>
          <w:lang w:val="el-GR"/>
        </w:rPr>
        <w:t>κρανιοεγκεφαλικές</w:t>
      </w:r>
      <w:proofErr w:type="spellEnd"/>
      <w:r>
        <w:rPr>
          <w:lang w:val="el-GR"/>
        </w:rPr>
        <w:t xml:space="preserve"> κακώσεις, με διαταραχές μνήμης, συγκέντρωσης, μάθησης και γνωστικής ευελιξίας (</w:t>
      </w:r>
      <w:r>
        <w:t>Davis</w:t>
      </w:r>
      <w:r>
        <w:rPr>
          <w:lang w:val="el-GR"/>
        </w:rPr>
        <w:t>, 2014·</w:t>
      </w:r>
      <w:r>
        <w:t>Valera</w:t>
      </w:r>
      <w:r>
        <w:rPr>
          <w:lang w:val="el-GR"/>
        </w:rPr>
        <w:t xml:space="preserve"> &amp; </w:t>
      </w:r>
      <w:r>
        <w:t>Berenbaum</w:t>
      </w:r>
      <w:r>
        <w:rPr>
          <w:lang w:val="el-GR"/>
        </w:rPr>
        <w:t>, 2003·</w:t>
      </w:r>
      <w:r>
        <w:t>Valera</w:t>
      </w:r>
      <w:r>
        <w:rPr>
          <w:lang w:val="el-GR"/>
        </w:rPr>
        <w:t xml:space="preserve"> &amp; </w:t>
      </w:r>
      <w:proofErr w:type="spellStart"/>
      <w:r>
        <w:t>Kucyi</w:t>
      </w:r>
      <w:proofErr w:type="spellEnd"/>
      <w:r>
        <w:rPr>
          <w:lang w:val="el-GR"/>
        </w:rPr>
        <w:t>, 2017).</w:t>
      </w:r>
    </w:p>
    <w:p w14:paraId="493A1B69" w14:textId="7EF23DBE" w:rsidR="00E63D5B" w:rsidRPr="00132066" w:rsidRDefault="001F059D">
      <w:pPr>
        <w:rPr>
          <w:lang w:val="el-GR"/>
        </w:rPr>
      </w:pPr>
      <w:r>
        <w:rPr>
          <w:lang w:val="el-GR"/>
        </w:rPr>
        <w:t xml:space="preserve">Ένα από τα πλέον σταθερά ευρήματα της βιβλιογραφίας αφορά την ύπαρξη σχέσης δόσης–απόκρισης: όσο μεγαλύτερη είναι η συχνότητα, η διάρκεια ή η σοβαρότητα της έκθεσης στη βία, τόσο </w:t>
      </w:r>
      <w:r>
        <w:rPr>
          <w:lang w:val="el-GR"/>
        </w:rPr>
        <w:lastRenderedPageBreak/>
        <w:t>εντονότερες τείνουν να είναι οι δυσμενείς επιπτώσεις. Πιο συχνή, σοβαρή ή χρόνιου τύπου κακοποίηση, καθώς και η ταυτόχρονη έκθεση σε πολλαπλές μορφές βίας (σωματική, σεξουαλική, ψυχολογική, εξαναγκαστικός έλεγχος, παρενόχληση), συνδέονται με εντονότερες και σωρευτικές σωματικές και ψυχικές συνέπειες με την πάροδο του χρόνου (</w:t>
      </w:r>
      <w:r>
        <w:t>Dillon</w:t>
      </w:r>
      <w:r>
        <w:rPr>
          <w:lang w:val="el-GR"/>
        </w:rPr>
        <w:t xml:space="preserve"> </w:t>
      </w:r>
      <w:r>
        <w:t>et</w:t>
      </w:r>
      <w:r>
        <w:rPr>
          <w:lang w:val="el-GR"/>
        </w:rPr>
        <w:t xml:space="preserve"> </w:t>
      </w:r>
      <w:r>
        <w:t>al</w:t>
      </w:r>
      <w:r>
        <w:rPr>
          <w:lang w:val="el-GR"/>
        </w:rPr>
        <w:t>., 2013·</w:t>
      </w:r>
      <w:r>
        <w:t>Stubbs</w:t>
      </w:r>
      <w:r>
        <w:rPr>
          <w:lang w:val="el-GR"/>
        </w:rPr>
        <w:t xml:space="preserve"> &amp; </w:t>
      </w:r>
      <w:proofErr w:type="spellStart"/>
      <w:r>
        <w:t>Szoeke</w:t>
      </w:r>
      <w:proofErr w:type="spellEnd"/>
      <w:r>
        <w:rPr>
          <w:lang w:val="el-GR"/>
        </w:rPr>
        <w:t xml:space="preserve">, 2022). Η κατανόηση της ενδοοικογενειακής βίας ως χρόνιου </w:t>
      </w:r>
      <w:proofErr w:type="spellStart"/>
      <w:r>
        <w:rPr>
          <w:lang w:val="el-GR"/>
        </w:rPr>
        <w:t>στρεσογόνου</w:t>
      </w:r>
      <w:proofErr w:type="spellEnd"/>
      <w:r>
        <w:rPr>
          <w:lang w:val="el-GR"/>
        </w:rPr>
        <w:t xml:space="preserve"> παράγοντα βοηθά να ερμηνευτούν τόσο οι χρόνιες σωματικές διαταραχές όσο και οι επίμονες ψυχικές συνέπειες.</w:t>
      </w:r>
    </w:p>
    <w:p w14:paraId="553A6D73" w14:textId="2E37A90C" w:rsidR="00E63D5B" w:rsidRPr="00132066" w:rsidRDefault="001F059D">
      <w:pPr>
        <w:rPr>
          <w:lang w:val="el-GR"/>
        </w:rPr>
      </w:pPr>
      <w:r>
        <w:rPr>
          <w:lang w:val="el-GR"/>
        </w:rPr>
        <w:t xml:space="preserve">Πέρα από τις άμεσες κακώσεις, η βία συνδέεται με χρόνιο πόνο, κεφαλαλγίες, </w:t>
      </w:r>
      <w:proofErr w:type="spellStart"/>
      <w:r>
        <w:rPr>
          <w:lang w:val="el-GR"/>
        </w:rPr>
        <w:t>μυοσκελετικά</w:t>
      </w:r>
      <w:proofErr w:type="spellEnd"/>
      <w:r>
        <w:rPr>
          <w:lang w:val="el-GR"/>
        </w:rPr>
        <w:t xml:space="preserve"> και γαστρεντερικά προβλήματα, υπέρταση, καρδιαγγειακά νοσήματα, σακχαρώδη διαβήτη, διαταραχές ύπνου και αυξημένη χρήση υπηρεσιών υγείας (</w:t>
      </w:r>
      <w:r>
        <w:t>Campbell</w:t>
      </w:r>
      <w:r>
        <w:rPr>
          <w:lang w:val="el-GR"/>
        </w:rPr>
        <w:t xml:space="preserve">, 2002 </w:t>
      </w:r>
      <w:r>
        <w:t>Ellsberg</w:t>
      </w:r>
      <w:r>
        <w:rPr>
          <w:lang w:val="el-GR"/>
        </w:rPr>
        <w:t xml:space="preserve"> </w:t>
      </w:r>
      <w:r>
        <w:t>et</w:t>
      </w:r>
      <w:r>
        <w:rPr>
          <w:lang w:val="el-GR"/>
        </w:rPr>
        <w:t xml:space="preserve"> </w:t>
      </w:r>
      <w:r>
        <w:t>al</w:t>
      </w:r>
      <w:r>
        <w:rPr>
          <w:lang w:val="el-GR"/>
        </w:rPr>
        <w:t>., 2008·</w:t>
      </w:r>
      <w:r>
        <w:t>Stubbs</w:t>
      </w:r>
      <w:r>
        <w:rPr>
          <w:lang w:val="el-GR"/>
        </w:rPr>
        <w:t xml:space="preserve"> &amp; </w:t>
      </w:r>
      <w:proofErr w:type="spellStart"/>
      <w:r>
        <w:t>Szoeke</w:t>
      </w:r>
      <w:proofErr w:type="spellEnd"/>
      <w:r>
        <w:rPr>
          <w:lang w:val="el-GR"/>
        </w:rPr>
        <w:t>, 2022). Οι συνέπειες αυτές αποδίδονται τόσο στους τραυματισμούς όσο και στη χρόνια ενεργοποίηση του συστήματος του στρες, στις δυσκολίες πρόσβασης σε κατάλληλη φροντίδα και σε συμπεριφορές αντιμετώπισης που αναπτύσσονται υπό συνθήκες παρατεταμένης απειλής. Η επαναλαμβανόμενη ή πολλαπλή κακοποίηση συνδέεται με βαρύτερη νοσηρότητα και με επιπτώσεις που μπορεί να επιμένουν για χρόνια μετά τη λήξη της σχέσης (</w:t>
      </w:r>
      <w:r>
        <w:t>Campbell</w:t>
      </w:r>
      <w:r>
        <w:rPr>
          <w:lang w:val="el-GR"/>
        </w:rPr>
        <w:t>, 2002·</w:t>
      </w:r>
      <w:r>
        <w:t>Potter</w:t>
      </w:r>
      <w:r>
        <w:rPr>
          <w:lang w:val="el-GR"/>
        </w:rPr>
        <w:t xml:space="preserve"> </w:t>
      </w:r>
      <w:r>
        <w:t>et</w:t>
      </w:r>
      <w:r>
        <w:rPr>
          <w:lang w:val="el-GR"/>
        </w:rPr>
        <w:t xml:space="preserve"> </w:t>
      </w:r>
      <w:r>
        <w:t>al</w:t>
      </w:r>
      <w:r>
        <w:rPr>
          <w:lang w:val="el-GR"/>
        </w:rPr>
        <w:t>., 2021).</w:t>
      </w:r>
    </w:p>
    <w:p w14:paraId="3D85BA9B" w14:textId="77777777" w:rsidR="00E63D5B" w:rsidRPr="00132066" w:rsidRDefault="001F059D">
      <w:pPr>
        <w:rPr>
          <w:lang w:val="el-GR"/>
        </w:rPr>
      </w:pPr>
      <w:r>
        <w:rPr>
          <w:lang w:val="el-GR"/>
        </w:rPr>
        <w:t>Η σεξουαλική βία και ο αναπαραγωγικός εξαναγκασμός συνδέονται με ανεπιθύμητες κυήσεις, σεξουαλικώς μεταδιδόμενες λοιμώξεις, χρόνιο πυελικό πόνο, ουρολοιμώξεις, σεξουαλική δυσλειτουργία και περιορισμένη δυνατότητα χρήσης αντισύλληψης (</w:t>
      </w:r>
      <w:r>
        <w:t>Campbell</w:t>
      </w:r>
      <w:r>
        <w:rPr>
          <w:lang w:val="el-GR"/>
        </w:rPr>
        <w:t>, 2002·</w:t>
      </w:r>
      <w:r>
        <w:t>Coker</w:t>
      </w:r>
      <w:r>
        <w:rPr>
          <w:lang w:val="el-GR"/>
        </w:rPr>
        <w:t xml:space="preserve"> </w:t>
      </w:r>
      <w:r>
        <w:t>et</w:t>
      </w:r>
      <w:r>
        <w:rPr>
          <w:lang w:val="el-GR"/>
        </w:rPr>
        <w:t xml:space="preserve"> </w:t>
      </w:r>
      <w:r>
        <w:t>al</w:t>
      </w:r>
      <w:r>
        <w:rPr>
          <w:lang w:val="el-GR"/>
        </w:rPr>
        <w:t>., 2002·</w:t>
      </w:r>
      <w:r>
        <w:t>Dunkle</w:t>
      </w:r>
      <w:r>
        <w:rPr>
          <w:lang w:val="el-GR"/>
        </w:rPr>
        <w:t xml:space="preserve"> </w:t>
      </w:r>
      <w:r>
        <w:t>et</w:t>
      </w:r>
      <w:r>
        <w:rPr>
          <w:lang w:val="el-GR"/>
        </w:rPr>
        <w:t xml:space="preserve"> </w:t>
      </w:r>
      <w:r>
        <w:t>al</w:t>
      </w:r>
      <w:r>
        <w:rPr>
          <w:lang w:val="el-GR"/>
        </w:rPr>
        <w:t>., 2004). Κατά την εγκυμοσύνη, η συντροφική βία σχετίζεται με τραυματισμούς, λοιμώξεις, κατάθλιψη, χρήση ουσιών, ανεπαρκή προγεννητική φροντίδα, πρόωρο τοκετό και χαμηλό βάρος γέννησης (</w:t>
      </w:r>
      <w:r>
        <w:t>Campbell</w:t>
      </w:r>
      <w:r>
        <w:rPr>
          <w:lang w:val="el-GR"/>
        </w:rPr>
        <w:t xml:space="preserve"> </w:t>
      </w:r>
      <w:r>
        <w:t>et</w:t>
      </w:r>
      <w:r>
        <w:rPr>
          <w:lang w:val="el-GR"/>
        </w:rPr>
        <w:t xml:space="preserve"> </w:t>
      </w:r>
      <w:r>
        <w:t>al</w:t>
      </w:r>
      <w:r>
        <w:rPr>
          <w:lang w:val="el-GR"/>
        </w:rPr>
        <w:t>., 2004·</w:t>
      </w:r>
      <w:r>
        <w:t>Hill</w:t>
      </w:r>
      <w:r>
        <w:rPr>
          <w:lang w:val="el-GR"/>
        </w:rPr>
        <w:t xml:space="preserve"> </w:t>
      </w:r>
      <w:r>
        <w:t>et</w:t>
      </w:r>
      <w:r>
        <w:rPr>
          <w:lang w:val="el-GR"/>
        </w:rPr>
        <w:t xml:space="preserve"> </w:t>
      </w:r>
      <w:r>
        <w:t>al</w:t>
      </w:r>
      <w:r>
        <w:rPr>
          <w:lang w:val="el-GR"/>
        </w:rPr>
        <w:t>., 2016·</w:t>
      </w:r>
      <w:r>
        <w:t>Shah</w:t>
      </w:r>
      <w:r>
        <w:rPr>
          <w:lang w:val="el-GR"/>
        </w:rPr>
        <w:t xml:space="preserve"> &amp; </w:t>
      </w:r>
      <w:r>
        <w:t>Shah</w:t>
      </w:r>
      <w:r>
        <w:rPr>
          <w:lang w:val="el-GR"/>
        </w:rPr>
        <w:t xml:space="preserve">, 2010). Η </w:t>
      </w:r>
      <w:proofErr w:type="spellStart"/>
      <w:r>
        <w:rPr>
          <w:lang w:val="el-GR"/>
        </w:rPr>
        <w:t>περιγεννητική</w:t>
      </w:r>
      <w:proofErr w:type="spellEnd"/>
      <w:r>
        <w:rPr>
          <w:lang w:val="el-GR"/>
        </w:rPr>
        <w:t xml:space="preserve"> περίοδος αποτελεί, συνεπώς, κρίσιμο σημείο έγκαιρης ανίχνευσης και υποστήριξης.</w:t>
      </w:r>
    </w:p>
    <w:p w14:paraId="4E54A061" w14:textId="77777777" w:rsidR="00E63D5B" w:rsidRPr="00132066" w:rsidRDefault="001F059D">
      <w:pPr>
        <w:rPr>
          <w:lang w:val="el-GR"/>
        </w:rPr>
      </w:pPr>
      <w:r>
        <w:rPr>
          <w:lang w:val="el-GR"/>
        </w:rPr>
        <w:t xml:space="preserve">Στην ψυχική υγεία, η ισχυρότερη τεκμηρίωση αφορά τη διαταραχή </w:t>
      </w:r>
      <w:proofErr w:type="spellStart"/>
      <w:r>
        <w:rPr>
          <w:lang w:val="el-GR"/>
        </w:rPr>
        <w:t>μετατραυματικού</w:t>
      </w:r>
      <w:proofErr w:type="spellEnd"/>
      <w:r>
        <w:rPr>
          <w:lang w:val="el-GR"/>
        </w:rPr>
        <w:t xml:space="preserve"> στρες (ΔΜΤΣ), την κατάθλιψη, το άγχος, την αποσύνδεση, τις διαταραχές ύπνου, την </w:t>
      </w:r>
      <w:proofErr w:type="spellStart"/>
      <w:r>
        <w:rPr>
          <w:lang w:val="el-GR"/>
        </w:rPr>
        <w:t>αυτοκτονικότητα</w:t>
      </w:r>
      <w:proofErr w:type="spellEnd"/>
      <w:r>
        <w:rPr>
          <w:lang w:val="el-GR"/>
        </w:rPr>
        <w:t xml:space="preserve"> και τη χρήση ουσιών (</w:t>
      </w:r>
      <w:r>
        <w:t>Golding</w:t>
      </w:r>
      <w:r>
        <w:rPr>
          <w:lang w:val="el-GR"/>
        </w:rPr>
        <w:t>, 1999·</w:t>
      </w:r>
      <w:r>
        <w:t>Devries</w:t>
      </w:r>
      <w:r>
        <w:rPr>
          <w:lang w:val="el-GR"/>
        </w:rPr>
        <w:t xml:space="preserve"> </w:t>
      </w:r>
      <w:r>
        <w:t>et</w:t>
      </w:r>
      <w:r>
        <w:rPr>
          <w:lang w:val="el-GR"/>
        </w:rPr>
        <w:t xml:space="preserve"> </w:t>
      </w:r>
      <w:r>
        <w:t>al</w:t>
      </w:r>
      <w:r>
        <w:rPr>
          <w:lang w:val="el-GR"/>
        </w:rPr>
        <w:t>., 2013</w:t>
      </w:r>
      <w:r>
        <w:t>b</w:t>
      </w:r>
      <w:r>
        <w:rPr>
          <w:lang w:val="el-GR"/>
        </w:rPr>
        <w:t>·</w:t>
      </w:r>
      <w:r>
        <w:t>Dillon</w:t>
      </w:r>
      <w:r>
        <w:rPr>
          <w:lang w:val="el-GR"/>
        </w:rPr>
        <w:t xml:space="preserve"> </w:t>
      </w:r>
      <w:r>
        <w:t>et</w:t>
      </w:r>
      <w:r>
        <w:rPr>
          <w:lang w:val="el-GR"/>
        </w:rPr>
        <w:t xml:space="preserve"> </w:t>
      </w:r>
      <w:r>
        <w:t>al</w:t>
      </w:r>
      <w:r>
        <w:rPr>
          <w:lang w:val="el-GR"/>
        </w:rPr>
        <w:t xml:space="preserve">., 2013). Η σοβαρότητα των συμπτωμάτων αυξάνεται συνήθως ανάλογα με τη διάρκεια, την </w:t>
      </w:r>
      <w:proofErr w:type="spellStart"/>
      <w:r>
        <w:rPr>
          <w:lang w:val="el-GR"/>
        </w:rPr>
        <w:t>επαναληπτικότητα</w:t>
      </w:r>
      <w:proofErr w:type="spellEnd"/>
      <w:r>
        <w:rPr>
          <w:lang w:val="el-GR"/>
        </w:rPr>
        <w:t xml:space="preserve"> και τη συνύπαρξη διαφορετικών μορφών βίας, ενώ ιδιαίτερα επιβαρυντικές είναι η σεξουαλική βία, οι απειλές κατά της ζωής και ο εξαναγκαστικός έλεγχος (</w:t>
      </w:r>
      <w:r>
        <w:t>Kilpatrick</w:t>
      </w:r>
      <w:r>
        <w:rPr>
          <w:lang w:val="el-GR"/>
        </w:rPr>
        <w:t>, 2004·</w:t>
      </w:r>
      <w:r>
        <w:t>Potter</w:t>
      </w:r>
      <w:r>
        <w:rPr>
          <w:lang w:val="el-GR"/>
        </w:rPr>
        <w:t xml:space="preserve"> </w:t>
      </w:r>
      <w:r>
        <w:t>et</w:t>
      </w:r>
      <w:r>
        <w:rPr>
          <w:lang w:val="el-GR"/>
        </w:rPr>
        <w:t xml:space="preserve"> </w:t>
      </w:r>
      <w:r>
        <w:t>al</w:t>
      </w:r>
      <w:r>
        <w:rPr>
          <w:lang w:val="el-GR"/>
        </w:rPr>
        <w:t>., 2021·</w:t>
      </w:r>
      <w:r>
        <w:t>Lohmann</w:t>
      </w:r>
      <w:r>
        <w:rPr>
          <w:lang w:val="el-GR"/>
        </w:rPr>
        <w:t xml:space="preserve"> </w:t>
      </w:r>
      <w:r>
        <w:t>et</w:t>
      </w:r>
      <w:r>
        <w:rPr>
          <w:lang w:val="el-GR"/>
        </w:rPr>
        <w:t xml:space="preserve"> </w:t>
      </w:r>
      <w:r>
        <w:t>al</w:t>
      </w:r>
      <w:r>
        <w:rPr>
          <w:lang w:val="el-GR"/>
        </w:rPr>
        <w:t>., 2024). Η κατάθλιψη μπορεί να ενισχύεται από την απομόνωση, την υποτίμηση και την απώλεια πόρων, ενώ ο αυτοκτονικός ιδεασμός και οι απόπειρες απαιτούν ιδιαίτερη προσοχή, ιδίως όταν η βία κλιμακώνεται (</w:t>
      </w:r>
      <w:r>
        <w:t>Campbell</w:t>
      </w:r>
      <w:r>
        <w:rPr>
          <w:lang w:val="el-GR"/>
        </w:rPr>
        <w:t xml:space="preserve"> </w:t>
      </w:r>
      <w:r>
        <w:t>et</w:t>
      </w:r>
      <w:r>
        <w:rPr>
          <w:lang w:val="el-GR"/>
        </w:rPr>
        <w:t xml:space="preserve"> </w:t>
      </w:r>
      <w:r>
        <w:t>al</w:t>
      </w:r>
      <w:r>
        <w:rPr>
          <w:lang w:val="el-GR"/>
        </w:rPr>
        <w:t>., 2003·</w:t>
      </w:r>
      <w:r>
        <w:t>Golding</w:t>
      </w:r>
      <w:r>
        <w:rPr>
          <w:lang w:val="el-GR"/>
        </w:rPr>
        <w:t>, 1999). Διαχρονικά δεδομένα δείχνουν, πάντως, ότι η καταθλιπτική συμπτωματολογία μπορεί να μειωθεί μετά την παύση της κακοποίησης (</w:t>
      </w:r>
      <w:proofErr w:type="spellStart"/>
      <w:r>
        <w:t>Kernic</w:t>
      </w:r>
      <w:proofErr w:type="spellEnd"/>
      <w:r>
        <w:rPr>
          <w:lang w:val="el-GR"/>
        </w:rPr>
        <w:t xml:space="preserve"> </w:t>
      </w:r>
      <w:r>
        <w:t>et</w:t>
      </w:r>
      <w:r>
        <w:rPr>
          <w:lang w:val="el-GR"/>
        </w:rPr>
        <w:t xml:space="preserve"> </w:t>
      </w:r>
      <w:r>
        <w:t>al</w:t>
      </w:r>
      <w:r>
        <w:rPr>
          <w:lang w:val="el-GR"/>
        </w:rPr>
        <w:t>., 2003).</w:t>
      </w:r>
    </w:p>
    <w:p w14:paraId="1F997B70" w14:textId="77777777" w:rsidR="00E63D5B" w:rsidRPr="00132066" w:rsidRDefault="001F059D">
      <w:pPr>
        <w:rPr>
          <w:lang w:val="el-GR"/>
        </w:rPr>
      </w:pPr>
      <w:r>
        <w:rPr>
          <w:lang w:val="el-GR"/>
        </w:rPr>
        <w:t xml:space="preserve">Η παρατεταμένη βία μέσα σε μια στενή και συχνά </w:t>
      </w:r>
      <w:proofErr w:type="spellStart"/>
      <w:r>
        <w:rPr>
          <w:lang w:val="el-GR"/>
        </w:rPr>
        <w:t>εξαρτητική</w:t>
      </w:r>
      <w:proofErr w:type="spellEnd"/>
      <w:r>
        <w:rPr>
          <w:lang w:val="el-GR"/>
        </w:rPr>
        <w:t xml:space="preserve"> σχέση μπορεί να προσλάβει χαρακτηριστικά σύνθετου τραύματος, επηρεάζοντας τη ρύθμιση του συναισθήματος, την αυτοαντίληψη, την εμπιστοσύνη, την αίσθηση ασφάλειας και την ικανότητα δημιουργίας στενών σχέσεων (</w:t>
      </w:r>
      <w:r>
        <w:t>Herman</w:t>
      </w:r>
      <w:r>
        <w:rPr>
          <w:lang w:val="el-GR"/>
        </w:rPr>
        <w:t>, 1992·</w:t>
      </w:r>
      <w:r>
        <w:t>WHO</w:t>
      </w:r>
      <w:r>
        <w:rPr>
          <w:lang w:val="el-GR"/>
        </w:rPr>
        <w:t xml:space="preserve">, 2022). Σε αυτό το πλαίσιο, η </w:t>
      </w:r>
      <w:proofErr w:type="spellStart"/>
      <w:r>
        <w:rPr>
          <w:lang w:val="el-GR"/>
        </w:rPr>
        <w:t>υπερεπαγρύπνηση</w:t>
      </w:r>
      <w:proofErr w:type="spellEnd"/>
      <w:r>
        <w:rPr>
          <w:lang w:val="el-GR"/>
        </w:rPr>
        <w:t xml:space="preserve">, η συναισθηματική απόσυρση και η διαρκής παρακολούθηση της συμπεριφοράς του δράστη μπορούν να κατανοηθούν ως προσαρμογές σε ένα απρόβλεπτο και απειλητικό περιβάλλον και όχι απλώς ως ατομική δυσλειτουργία. Η υψηλή παρουσία σύνθετης </w:t>
      </w:r>
      <w:proofErr w:type="spellStart"/>
      <w:r>
        <w:rPr>
          <w:lang w:val="el-GR"/>
        </w:rPr>
        <w:t>μετατραυματικής</w:t>
      </w:r>
      <w:proofErr w:type="spellEnd"/>
      <w:r>
        <w:rPr>
          <w:lang w:val="el-GR"/>
        </w:rPr>
        <w:t xml:space="preserve"> συμπτωματολογίας σε επιζώσες συντροφικής βίας επιβεβαιώνει την ανάγκη αξιολόγησης δυσκολιών που υπερβαίνουν τα κλασικά συμπτώματα της ΔΜΤΣ (</w:t>
      </w:r>
      <w:r>
        <w:t>Fern</w:t>
      </w:r>
      <w:r>
        <w:rPr>
          <w:lang w:val="el-GR"/>
        </w:rPr>
        <w:t>á</w:t>
      </w:r>
      <w:proofErr w:type="spellStart"/>
      <w:r>
        <w:t>ndez</w:t>
      </w:r>
      <w:proofErr w:type="spellEnd"/>
      <w:r>
        <w:rPr>
          <w:lang w:val="el-GR"/>
        </w:rPr>
        <w:t>-</w:t>
      </w:r>
      <w:proofErr w:type="spellStart"/>
      <w:r>
        <w:t>Fillol</w:t>
      </w:r>
      <w:proofErr w:type="spellEnd"/>
      <w:r>
        <w:rPr>
          <w:lang w:val="el-GR"/>
        </w:rPr>
        <w:t xml:space="preserve"> </w:t>
      </w:r>
      <w:r>
        <w:t>et</w:t>
      </w:r>
      <w:r>
        <w:rPr>
          <w:lang w:val="el-GR"/>
        </w:rPr>
        <w:t xml:space="preserve"> </w:t>
      </w:r>
      <w:r>
        <w:t>al</w:t>
      </w:r>
      <w:r>
        <w:rPr>
          <w:lang w:val="el-GR"/>
        </w:rPr>
        <w:t>., 2021).</w:t>
      </w:r>
    </w:p>
    <w:p w14:paraId="5E213521" w14:textId="77777777" w:rsidR="00E63D5B" w:rsidRPr="00132066" w:rsidRDefault="001F059D">
      <w:pPr>
        <w:rPr>
          <w:lang w:val="el-GR"/>
        </w:rPr>
      </w:pPr>
      <w:r>
        <w:rPr>
          <w:lang w:val="el-GR"/>
        </w:rPr>
        <w:t xml:space="preserve">Η χρήση αλκοόλ ή άλλων ουσιών μπορεί να προηγείται, να συνυπάρχει ή να ακολουθεί τη βία. Για ορισμένες επιζώσες λειτουργεί ως τρόπος διαχείρισης του τραυματικού στρες, της αϋπνίας ή του συναισθηματικού πόνου, αλλά μπορεί συγχρόνως να αυξήσει την </w:t>
      </w:r>
      <w:proofErr w:type="spellStart"/>
      <w:r>
        <w:rPr>
          <w:lang w:val="el-GR"/>
        </w:rPr>
        <w:t>ευαλωτότητα</w:t>
      </w:r>
      <w:proofErr w:type="spellEnd"/>
      <w:r>
        <w:rPr>
          <w:lang w:val="el-GR"/>
        </w:rPr>
        <w:t xml:space="preserve"> και να δυσχεράνει την αναζήτηση βοήθειας και την αποκατάσταση (</w:t>
      </w:r>
      <w:r>
        <w:t>Fowler</w:t>
      </w:r>
      <w:r>
        <w:rPr>
          <w:lang w:val="el-GR"/>
        </w:rPr>
        <w:t>, 2007·</w:t>
      </w:r>
      <w:r>
        <w:t>Logan</w:t>
      </w:r>
      <w:r>
        <w:rPr>
          <w:lang w:val="el-GR"/>
        </w:rPr>
        <w:t xml:space="preserve"> </w:t>
      </w:r>
      <w:r>
        <w:t>et</w:t>
      </w:r>
      <w:r>
        <w:rPr>
          <w:lang w:val="el-GR"/>
        </w:rPr>
        <w:t xml:space="preserve"> </w:t>
      </w:r>
      <w:r>
        <w:t>al</w:t>
      </w:r>
      <w:r>
        <w:rPr>
          <w:lang w:val="el-GR"/>
        </w:rPr>
        <w:t>., 2006·</w:t>
      </w:r>
      <w:proofErr w:type="spellStart"/>
      <w:r>
        <w:t>Najavits</w:t>
      </w:r>
      <w:proofErr w:type="spellEnd"/>
      <w:r>
        <w:rPr>
          <w:lang w:val="el-GR"/>
        </w:rPr>
        <w:t xml:space="preserve"> </w:t>
      </w:r>
      <w:r>
        <w:t>et</w:t>
      </w:r>
      <w:r>
        <w:rPr>
          <w:lang w:val="el-GR"/>
        </w:rPr>
        <w:t xml:space="preserve"> </w:t>
      </w:r>
      <w:r>
        <w:t>al</w:t>
      </w:r>
      <w:r>
        <w:rPr>
          <w:lang w:val="el-GR"/>
        </w:rPr>
        <w:t xml:space="preserve">., 2004). </w:t>
      </w:r>
      <w:proofErr w:type="spellStart"/>
      <w:r>
        <w:rPr>
          <w:lang w:val="el-GR"/>
        </w:rPr>
        <w:lastRenderedPageBreak/>
        <w:t>Μετα</w:t>
      </w:r>
      <w:proofErr w:type="spellEnd"/>
      <w:r>
        <w:rPr>
          <w:lang w:val="el-GR"/>
        </w:rPr>
        <w:t xml:space="preserve">-αναλυτικά δεδομένα επιβεβαιώνουν τη σύνδεση της προβληματικής χρήσης ουσιών τόσο με τη </w:t>
      </w:r>
      <w:proofErr w:type="spellStart"/>
      <w:r>
        <w:rPr>
          <w:lang w:val="el-GR"/>
        </w:rPr>
        <w:t>θυματοποίηση</w:t>
      </w:r>
      <w:proofErr w:type="spellEnd"/>
      <w:r>
        <w:rPr>
          <w:lang w:val="el-GR"/>
        </w:rPr>
        <w:t xml:space="preserve"> όσο και με τη διάπραξη βίας, χωρίς αυτό να σημαίνει ότι η χρήση ουσιών αποτελεί από μόνη της αιτία της κακοποίησης (</w:t>
      </w:r>
      <w:r>
        <w:t>Cafferky</w:t>
      </w:r>
      <w:r>
        <w:rPr>
          <w:lang w:val="el-GR"/>
        </w:rPr>
        <w:t xml:space="preserve"> </w:t>
      </w:r>
      <w:r>
        <w:t>et</w:t>
      </w:r>
      <w:r>
        <w:rPr>
          <w:lang w:val="el-GR"/>
        </w:rPr>
        <w:t xml:space="preserve"> </w:t>
      </w:r>
      <w:r>
        <w:t>al</w:t>
      </w:r>
      <w:r>
        <w:rPr>
          <w:lang w:val="el-GR"/>
        </w:rPr>
        <w:t>., 2018).</w:t>
      </w:r>
    </w:p>
    <w:p w14:paraId="3B000ABB" w14:textId="77777777" w:rsidR="00E63D5B" w:rsidRPr="00132066" w:rsidRDefault="001F059D">
      <w:pPr>
        <w:rPr>
          <w:lang w:val="el-GR"/>
        </w:rPr>
      </w:pPr>
      <w:r>
        <w:rPr>
          <w:lang w:val="el-GR"/>
        </w:rPr>
        <w:t>Οι επιπτώσεις αποτυπώνονται συνολικά στη χαμηλότερη ποιότητα ζωής και ικανοποίηση από τη ζωή, ιδιαίτερα ως προς την ψυχική υγεία, την κοινωνική λειτουργικότητα, την εργασία, την οικονομική ασφάλεια και την αυτονομία (</w:t>
      </w:r>
      <w:r>
        <w:t>Alsaker</w:t>
      </w:r>
      <w:r>
        <w:rPr>
          <w:lang w:val="el-GR"/>
        </w:rPr>
        <w:t xml:space="preserve"> </w:t>
      </w:r>
      <w:r>
        <w:t>et</w:t>
      </w:r>
      <w:r>
        <w:rPr>
          <w:lang w:val="el-GR"/>
        </w:rPr>
        <w:t xml:space="preserve"> </w:t>
      </w:r>
      <w:r>
        <w:t>al</w:t>
      </w:r>
      <w:r>
        <w:rPr>
          <w:lang w:val="el-GR"/>
        </w:rPr>
        <w:t>., 2006·</w:t>
      </w:r>
      <w:r>
        <w:t>Costa</w:t>
      </w:r>
      <w:r>
        <w:rPr>
          <w:lang w:val="el-GR"/>
        </w:rPr>
        <w:t xml:space="preserve"> </w:t>
      </w:r>
      <w:r>
        <w:t>et</w:t>
      </w:r>
      <w:r>
        <w:rPr>
          <w:lang w:val="el-GR"/>
        </w:rPr>
        <w:t xml:space="preserve"> </w:t>
      </w:r>
      <w:r>
        <w:t>al</w:t>
      </w:r>
      <w:r>
        <w:rPr>
          <w:lang w:val="el-GR"/>
        </w:rPr>
        <w:t>., 2015·</w:t>
      </w:r>
      <w:proofErr w:type="spellStart"/>
      <w:r>
        <w:t>Hisasue</w:t>
      </w:r>
      <w:proofErr w:type="spellEnd"/>
      <w:r>
        <w:rPr>
          <w:lang w:val="el-GR"/>
        </w:rPr>
        <w:t xml:space="preserve"> </w:t>
      </w:r>
      <w:r>
        <w:t>et</w:t>
      </w:r>
      <w:r>
        <w:rPr>
          <w:lang w:val="el-GR"/>
        </w:rPr>
        <w:t xml:space="preserve"> </w:t>
      </w:r>
      <w:r>
        <w:t>al</w:t>
      </w:r>
      <w:r>
        <w:rPr>
          <w:lang w:val="el-GR"/>
        </w:rPr>
        <w:t>., 2020). Η οικονομική κακοποίηση αποτελεί διακριτή πηγή επιβάρυνσης, καθώς η αύξησή της συνδέεται με χαμηλότερη ποιότητα ζωής ακόμη και όταν συνεκτιμώνται η σωματική και η ψυχολογική βία (</w:t>
      </w:r>
      <w:r>
        <w:t>Adams</w:t>
      </w:r>
      <w:r>
        <w:rPr>
          <w:lang w:val="el-GR"/>
        </w:rPr>
        <w:t xml:space="preserve"> &amp; </w:t>
      </w:r>
      <w:proofErr w:type="spellStart"/>
      <w:r>
        <w:t>Beeble</w:t>
      </w:r>
      <w:proofErr w:type="spellEnd"/>
      <w:r>
        <w:rPr>
          <w:lang w:val="el-GR"/>
        </w:rPr>
        <w:t>, 2019·</w:t>
      </w:r>
      <w:r>
        <w:t>Johnson</w:t>
      </w:r>
      <w:r>
        <w:rPr>
          <w:lang w:val="el-GR"/>
        </w:rPr>
        <w:t xml:space="preserve"> </w:t>
      </w:r>
      <w:r>
        <w:t>et</w:t>
      </w:r>
      <w:r>
        <w:rPr>
          <w:lang w:val="el-GR"/>
        </w:rPr>
        <w:t xml:space="preserve"> </w:t>
      </w:r>
      <w:r>
        <w:t>al</w:t>
      </w:r>
      <w:r>
        <w:rPr>
          <w:lang w:val="el-GR"/>
        </w:rPr>
        <w:t>., 2022·</w:t>
      </w:r>
      <w:r>
        <w:t>Postmus</w:t>
      </w:r>
      <w:r>
        <w:rPr>
          <w:lang w:val="el-GR"/>
        </w:rPr>
        <w:t xml:space="preserve"> </w:t>
      </w:r>
      <w:r>
        <w:t>et</w:t>
      </w:r>
      <w:r>
        <w:rPr>
          <w:lang w:val="el-GR"/>
        </w:rPr>
        <w:t xml:space="preserve"> </w:t>
      </w:r>
      <w:r>
        <w:t>al</w:t>
      </w:r>
      <w:r>
        <w:rPr>
          <w:lang w:val="el-GR"/>
        </w:rPr>
        <w:t>., 2012). Αντίθετα, η επάρκεια οικονομικών και στεγαστικών πόρων και η κοινωνική υποστήριξη λειτουργούν προστατευτικά για την ψυχική υγεία και την ποιότητα ζωής των επιζωσών (</w:t>
      </w:r>
      <w:proofErr w:type="spellStart"/>
      <w:r>
        <w:t>Hobfoll</w:t>
      </w:r>
      <w:proofErr w:type="spellEnd"/>
      <w:r>
        <w:rPr>
          <w:lang w:val="el-GR"/>
        </w:rPr>
        <w:t>, 1989·</w:t>
      </w:r>
      <w:r>
        <w:t>Weaver</w:t>
      </w:r>
      <w:r>
        <w:rPr>
          <w:lang w:val="el-GR"/>
        </w:rPr>
        <w:t xml:space="preserve"> </w:t>
      </w:r>
      <w:r>
        <w:t>et</w:t>
      </w:r>
      <w:r>
        <w:rPr>
          <w:lang w:val="el-GR"/>
        </w:rPr>
        <w:t xml:space="preserve"> </w:t>
      </w:r>
      <w:r>
        <w:t>al</w:t>
      </w:r>
      <w:r>
        <w:rPr>
          <w:lang w:val="el-GR"/>
        </w:rPr>
        <w:t>., 2021).</w:t>
      </w:r>
    </w:p>
    <w:p w14:paraId="0BA87650" w14:textId="77777777" w:rsidR="00E63D5B" w:rsidRPr="00132066" w:rsidRDefault="001F059D">
      <w:pPr>
        <w:pStyle w:val="20"/>
        <w:rPr>
          <w:lang w:val="el-GR"/>
        </w:rPr>
      </w:pPr>
      <w:bookmarkStart w:id="13" w:name="_Toc242134418"/>
      <w:r>
        <w:rPr>
          <w:lang w:val="el-GR"/>
        </w:rPr>
        <w:t>2.6 Επιπτώσεις στα παιδιά και στη γονεϊκή λειτουργία</w:t>
      </w:r>
      <w:bookmarkEnd w:id="13"/>
    </w:p>
    <w:p w14:paraId="58CF8E63" w14:textId="285CF120" w:rsidR="00E63D5B" w:rsidRPr="00132066" w:rsidRDefault="001F059D">
      <w:pPr>
        <w:rPr>
          <w:lang w:val="el-GR"/>
        </w:rPr>
      </w:pPr>
      <w:r>
        <w:rPr>
          <w:lang w:val="el-GR"/>
        </w:rPr>
        <w:t xml:space="preserve">Η έκθεση των παιδιών στην ενδοοικογενειακή βία αναγνωρίζεται πλέον ως μορφή παιδικής </w:t>
      </w:r>
      <w:proofErr w:type="spellStart"/>
      <w:r>
        <w:rPr>
          <w:lang w:val="el-GR"/>
        </w:rPr>
        <w:t>θυματοποίησης</w:t>
      </w:r>
      <w:proofErr w:type="spellEnd"/>
      <w:r>
        <w:rPr>
          <w:lang w:val="el-GR"/>
        </w:rPr>
        <w:t xml:space="preserve"> (</w:t>
      </w:r>
      <w:r>
        <w:t>Holt</w:t>
      </w:r>
      <w:r>
        <w:rPr>
          <w:lang w:val="el-GR"/>
        </w:rPr>
        <w:t xml:space="preserve"> </w:t>
      </w:r>
      <w:r>
        <w:t>et</w:t>
      </w:r>
      <w:r>
        <w:rPr>
          <w:lang w:val="el-GR"/>
        </w:rPr>
        <w:t xml:space="preserve"> </w:t>
      </w:r>
      <w:r>
        <w:t>al</w:t>
      </w:r>
      <w:r>
        <w:rPr>
          <w:lang w:val="el-GR"/>
        </w:rPr>
        <w:t>., 2008·</w:t>
      </w:r>
      <w:r>
        <w:t>McFarlane</w:t>
      </w:r>
      <w:r>
        <w:rPr>
          <w:lang w:val="el-GR"/>
        </w:rPr>
        <w:t xml:space="preserve"> </w:t>
      </w:r>
      <w:r>
        <w:t>et</w:t>
      </w:r>
      <w:r>
        <w:rPr>
          <w:lang w:val="el-GR"/>
        </w:rPr>
        <w:t xml:space="preserve"> </w:t>
      </w:r>
      <w:r>
        <w:t>al</w:t>
      </w:r>
      <w:r>
        <w:rPr>
          <w:lang w:val="el-GR"/>
        </w:rPr>
        <w:t>., 2017). Περιλαμβάνει τη θέαση ή την ακρόαση της βίας, την παρατήρηση των συνεπειών της (τραύματα, κατεστραμμένα αντικείμενα), την εμπλοκή σε προσπάθειες προστασίας και τη χρήση του παιδιού από τον δράστη ως μέσου ελέγχου. Σχεδόν τα μισά περιστατικά ενδοοικογενειακής βίας συμβαίνουν σε νοικοκυριά με παιδιά (</w:t>
      </w:r>
      <w:r>
        <w:t>Carpenter</w:t>
      </w:r>
      <w:r>
        <w:rPr>
          <w:lang w:val="el-GR"/>
        </w:rPr>
        <w:t xml:space="preserve"> &amp; </w:t>
      </w:r>
      <w:r>
        <w:t>Stacks</w:t>
      </w:r>
      <w:r>
        <w:rPr>
          <w:lang w:val="el-GR"/>
        </w:rPr>
        <w:t xml:space="preserve">, 2009). Οι </w:t>
      </w:r>
      <w:proofErr w:type="spellStart"/>
      <w:r>
        <w:rPr>
          <w:lang w:val="el-GR"/>
        </w:rPr>
        <w:t>μετα</w:t>
      </w:r>
      <w:proofErr w:type="spellEnd"/>
      <w:r>
        <w:rPr>
          <w:lang w:val="el-GR"/>
        </w:rPr>
        <w:t>-αναλύσεις (</w:t>
      </w:r>
      <w:r>
        <w:t>Evans</w:t>
      </w:r>
      <w:r>
        <w:rPr>
          <w:lang w:val="el-GR"/>
        </w:rPr>
        <w:t xml:space="preserve"> </w:t>
      </w:r>
      <w:r>
        <w:t>et</w:t>
      </w:r>
      <w:r>
        <w:rPr>
          <w:lang w:val="el-GR"/>
        </w:rPr>
        <w:t xml:space="preserve"> </w:t>
      </w:r>
      <w:r>
        <w:t>al</w:t>
      </w:r>
      <w:r>
        <w:rPr>
          <w:lang w:val="el-GR"/>
        </w:rPr>
        <w:t xml:space="preserve">., 2008 </w:t>
      </w:r>
      <w:r>
        <w:t>Kitzmann</w:t>
      </w:r>
      <w:r>
        <w:rPr>
          <w:lang w:val="el-GR"/>
        </w:rPr>
        <w:t xml:space="preserve"> </w:t>
      </w:r>
      <w:r>
        <w:t>et</w:t>
      </w:r>
      <w:r>
        <w:rPr>
          <w:lang w:val="el-GR"/>
        </w:rPr>
        <w:t xml:space="preserve"> </w:t>
      </w:r>
      <w:r>
        <w:t>al</w:t>
      </w:r>
      <w:r>
        <w:rPr>
          <w:lang w:val="el-GR"/>
        </w:rPr>
        <w:t xml:space="preserve">., 2003) δείχνουν ότι τα παιδιά που εκτίθενται σε βία μεταξύ των γονέων παρουσιάζουν περισσότερα προβλήματα εσωτερίκευσης (άγχος, θλίψη, απόσυρση) και εξωτερίκευσης (επιθετικότητα, ανυπακοή), δυσκολίες στην κοινωνική και σχολική λειτουργικότητα και </w:t>
      </w:r>
      <w:proofErr w:type="spellStart"/>
      <w:r>
        <w:rPr>
          <w:lang w:val="el-GR"/>
        </w:rPr>
        <w:t>μετατραυματικά</w:t>
      </w:r>
      <w:proofErr w:type="spellEnd"/>
      <w:r>
        <w:rPr>
          <w:lang w:val="el-GR"/>
        </w:rPr>
        <w:t xml:space="preserve"> συμπτώματα, με τα αγόρια να εμφανίζουν συχνότερα δυσκολίες εξωτερίκευσης.</w:t>
      </w:r>
    </w:p>
    <w:p w14:paraId="2D965611" w14:textId="77777777" w:rsidR="00E63D5B" w:rsidRPr="00132066" w:rsidRDefault="001F059D">
      <w:pPr>
        <w:rPr>
          <w:lang w:val="el-GR"/>
        </w:rPr>
      </w:pPr>
      <w:r>
        <w:rPr>
          <w:lang w:val="el-GR"/>
        </w:rPr>
        <w:t>Η γονεϊκότητα είναι ένας από τους βασικούς διαύλους μέσω των οποίων η βία εισέρχεται στην καθημερινή ζωή του παιδιού (</w:t>
      </w:r>
      <w:r>
        <w:t>Levendosky</w:t>
      </w:r>
      <w:r>
        <w:rPr>
          <w:lang w:val="el-GR"/>
        </w:rPr>
        <w:t xml:space="preserve"> &amp; </w:t>
      </w:r>
      <w:r>
        <w:t>Graham</w:t>
      </w:r>
      <w:r>
        <w:rPr>
          <w:lang w:val="el-GR"/>
        </w:rPr>
        <w:t>-</w:t>
      </w:r>
      <w:r>
        <w:t>Bermann</w:t>
      </w:r>
      <w:r>
        <w:rPr>
          <w:lang w:val="el-GR"/>
        </w:rPr>
        <w:t xml:space="preserve">, 2001). Ο φόβος, η κατάθλιψη, τα </w:t>
      </w:r>
      <w:proofErr w:type="spellStart"/>
      <w:r>
        <w:rPr>
          <w:lang w:val="el-GR"/>
        </w:rPr>
        <w:t>μετατραυματικά</w:t>
      </w:r>
      <w:proofErr w:type="spellEnd"/>
      <w:r>
        <w:rPr>
          <w:lang w:val="el-GR"/>
        </w:rPr>
        <w:t xml:space="preserve"> συμπτώματα και η εξάντληση της μητέρας μπορεί να περιορίζουν προσωρινά τη συναισθηματική της διαθεσιμότητα. Παράλληλα, ο πατέρας που ασκεί βία συχνά υπονομεύει ευθέως τον μητρικό ρόλο (ακυρώνει τις αποφάσεις της μπροστά στα παιδιά, απαξιώνει την επάρκειά της, χρησιμοποιεί τα παιδιά για παρακολούθηση και εκφοβισμό) (</w:t>
      </w:r>
      <w:r>
        <w:t>Bancroft</w:t>
      </w:r>
      <w:r>
        <w:rPr>
          <w:lang w:val="el-GR"/>
        </w:rPr>
        <w:t xml:space="preserve"> </w:t>
      </w:r>
      <w:r>
        <w:t>et</w:t>
      </w:r>
      <w:r>
        <w:rPr>
          <w:lang w:val="el-GR"/>
        </w:rPr>
        <w:t xml:space="preserve"> </w:t>
      </w:r>
      <w:r>
        <w:t>al</w:t>
      </w:r>
      <w:r>
        <w:rPr>
          <w:lang w:val="el-GR"/>
        </w:rPr>
        <w:t>., 2012·</w:t>
      </w:r>
      <w:r>
        <w:t>Jaffe</w:t>
      </w:r>
      <w:r>
        <w:rPr>
          <w:lang w:val="el-GR"/>
        </w:rPr>
        <w:t xml:space="preserve"> </w:t>
      </w:r>
      <w:r>
        <w:t>et</w:t>
      </w:r>
      <w:r>
        <w:rPr>
          <w:lang w:val="el-GR"/>
        </w:rPr>
        <w:t xml:space="preserve"> </w:t>
      </w:r>
      <w:r>
        <w:t>al</w:t>
      </w:r>
      <w:r>
        <w:rPr>
          <w:lang w:val="el-GR"/>
        </w:rPr>
        <w:t xml:space="preserve">., 2003). Η βιβλιογραφία, ωστόσο, τονίζει ότι πολλές μητέρες διατηρούν ή ενισχύουν την προστατευτική και τρυφερή </w:t>
      </w:r>
      <w:proofErr w:type="spellStart"/>
      <w:r>
        <w:rPr>
          <w:lang w:val="el-GR"/>
        </w:rPr>
        <w:t>γονεϊκότητά</w:t>
      </w:r>
      <w:proofErr w:type="spellEnd"/>
      <w:r>
        <w:rPr>
          <w:lang w:val="el-GR"/>
        </w:rPr>
        <w:t xml:space="preserve"> τους ακριβώς ως αντίδραση στη βία, και ότι οι δυσκολίες τους αποτελούν συνέπεια της βίας και όχι αιτία των δυσκολιών του παιδιού (</w:t>
      </w:r>
      <w:r>
        <w:t>Chiesa</w:t>
      </w:r>
      <w:r>
        <w:rPr>
          <w:lang w:val="el-GR"/>
        </w:rPr>
        <w:t xml:space="preserve"> </w:t>
      </w:r>
      <w:r>
        <w:t>et</w:t>
      </w:r>
      <w:r>
        <w:rPr>
          <w:lang w:val="el-GR"/>
        </w:rPr>
        <w:t xml:space="preserve"> </w:t>
      </w:r>
      <w:r>
        <w:t>al</w:t>
      </w:r>
      <w:r>
        <w:rPr>
          <w:lang w:val="el-GR"/>
        </w:rPr>
        <w:t>., 2018·</w:t>
      </w:r>
      <w:r>
        <w:t>Sousa</w:t>
      </w:r>
      <w:r>
        <w:rPr>
          <w:lang w:val="el-GR"/>
        </w:rPr>
        <w:t xml:space="preserve"> </w:t>
      </w:r>
      <w:r>
        <w:t>et</w:t>
      </w:r>
      <w:r>
        <w:rPr>
          <w:lang w:val="el-GR"/>
        </w:rPr>
        <w:t xml:space="preserve"> </w:t>
      </w:r>
      <w:r>
        <w:t>al</w:t>
      </w:r>
      <w:r>
        <w:rPr>
          <w:lang w:val="el-GR"/>
        </w:rPr>
        <w:t>., 2022). Σε αντίθεση με τις μητέρες, η πατρότητα των ανδρών που ασκούν βία έχει μελετηθεί λιγότερο, παρότι τα δύο τρίτα περίπου διατηρούν ενεργό γονεϊκό ρόλο (</w:t>
      </w:r>
      <w:r>
        <w:t>Stover</w:t>
      </w:r>
      <w:r>
        <w:rPr>
          <w:lang w:val="el-GR"/>
        </w:rPr>
        <w:t xml:space="preserve"> &amp; </w:t>
      </w:r>
      <w:proofErr w:type="spellStart"/>
      <w:r>
        <w:t>Morgos</w:t>
      </w:r>
      <w:proofErr w:type="spellEnd"/>
      <w:r>
        <w:rPr>
          <w:lang w:val="el-GR"/>
        </w:rPr>
        <w:t>, 2013).</w:t>
      </w:r>
    </w:p>
    <w:p w14:paraId="7B708571" w14:textId="77777777" w:rsidR="00E63D5B" w:rsidRPr="00132066" w:rsidRDefault="001F059D">
      <w:pPr>
        <w:pStyle w:val="20"/>
        <w:rPr>
          <w:lang w:val="el-GR"/>
        </w:rPr>
      </w:pPr>
      <w:bookmarkStart w:id="14" w:name="_Toc242134419"/>
      <w:r>
        <w:rPr>
          <w:lang w:val="el-GR"/>
        </w:rPr>
        <w:t xml:space="preserve">2.7 </w:t>
      </w:r>
      <w:proofErr w:type="spellStart"/>
      <w:r>
        <w:rPr>
          <w:lang w:val="el-GR"/>
        </w:rPr>
        <w:t>Διαγενεακή</w:t>
      </w:r>
      <w:proofErr w:type="spellEnd"/>
      <w:r>
        <w:rPr>
          <w:lang w:val="el-GR"/>
        </w:rPr>
        <w:t xml:space="preserve"> μετάδοση της βίας</w:t>
      </w:r>
      <w:bookmarkEnd w:id="14"/>
    </w:p>
    <w:p w14:paraId="26BC33E4" w14:textId="740A4508" w:rsidR="00E63D5B" w:rsidRPr="00132066" w:rsidRDefault="001F059D">
      <w:pPr>
        <w:rPr>
          <w:lang w:val="el-GR"/>
        </w:rPr>
      </w:pPr>
      <w:r>
        <w:rPr>
          <w:lang w:val="el-GR"/>
        </w:rPr>
        <w:t xml:space="preserve">Η έννοια της </w:t>
      </w:r>
      <w:proofErr w:type="spellStart"/>
      <w:r>
        <w:rPr>
          <w:lang w:val="el-GR"/>
        </w:rPr>
        <w:t>διαγενεακής</w:t>
      </w:r>
      <w:proofErr w:type="spellEnd"/>
      <w:r>
        <w:rPr>
          <w:lang w:val="el-GR"/>
        </w:rPr>
        <w:t xml:space="preserve"> μετάδοσης της βίας αναφέρεται στη διαδικασία μέσω της οποίας η έκθεση στη βία εντός του οικογενειακού περιβάλλοντος κατά την παιδική ηλικία συνδέεται με αυξημένη πιθανότητα εμπλοκής σε βίαιες σχέσεις στην ενήλικη ζωή, είτε με τη μορφή διάπραξης είτε με τη μορφή </w:t>
      </w:r>
      <w:proofErr w:type="spellStart"/>
      <w:r>
        <w:rPr>
          <w:lang w:val="el-GR"/>
        </w:rPr>
        <w:t>θυματοποίησης</w:t>
      </w:r>
      <w:proofErr w:type="spellEnd"/>
      <w:r>
        <w:rPr>
          <w:lang w:val="el-GR"/>
        </w:rPr>
        <w:t>. Ο όρος αναπτύχθηκε προκειμένου να περιγράψει και να ερμηνεύσει ακριβώς αυτό το παρατηρούμενο μοτίβο, σύμφωνα με το οποίο η ενδοοικογενειακή βία τείνει να μεταδίδεται από τη μία γενιά στην επόμενη (</w:t>
      </w:r>
      <w:proofErr w:type="spellStart"/>
      <w:r>
        <w:t>Ehrensaft</w:t>
      </w:r>
      <w:proofErr w:type="spellEnd"/>
      <w:r>
        <w:rPr>
          <w:lang w:val="el-GR"/>
        </w:rPr>
        <w:t xml:space="preserve"> </w:t>
      </w:r>
      <w:r>
        <w:t>et</w:t>
      </w:r>
      <w:r>
        <w:rPr>
          <w:lang w:val="el-GR"/>
        </w:rPr>
        <w:t xml:space="preserve"> </w:t>
      </w:r>
      <w:r>
        <w:t>al</w:t>
      </w:r>
      <w:r>
        <w:rPr>
          <w:lang w:val="el-GR"/>
        </w:rPr>
        <w:t>., 2003·</w:t>
      </w:r>
      <w:r>
        <w:t>Foshee</w:t>
      </w:r>
      <w:r>
        <w:rPr>
          <w:lang w:val="el-GR"/>
        </w:rPr>
        <w:t xml:space="preserve"> </w:t>
      </w:r>
      <w:r>
        <w:t>et</w:t>
      </w:r>
      <w:r>
        <w:rPr>
          <w:lang w:val="el-GR"/>
        </w:rPr>
        <w:t xml:space="preserve"> </w:t>
      </w:r>
      <w:r>
        <w:t>al</w:t>
      </w:r>
      <w:r>
        <w:rPr>
          <w:lang w:val="el-GR"/>
        </w:rPr>
        <w:t>., 1999). Η υπόθεση αυτή αποτελεί κεντρικό άξονα της βιβλιογραφίας για την οικογενειακή βία επί δεκαετίες και αποδίδει τη διαιώνιση της βίας στη μετάδοση βίαιων προτύπων από τη μία γενιά στην επόμενη (</w:t>
      </w:r>
      <w:r>
        <w:t>Widom</w:t>
      </w:r>
      <w:r>
        <w:rPr>
          <w:lang w:val="el-GR"/>
        </w:rPr>
        <w:t>, 1989·</w:t>
      </w:r>
      <w:r>
        <w:t>Gelinas</w:t>
      </w:r>
      <w:r>
        <w:rPr>
          <w:lang w:val="el-GR"/>
        </w:rPr>
        <w:t xml:space="preserve"> </w:t>
      </w:r>
      <w:r>
        <w:t>et</w:t>
      </w:r>
      <w:r>
        <w:rPr>
          <w:lang w:val="el-GR"/>
        </w:rPr>
        <w:t xml:space="preserve"> </w:t>
      </w:r>
      <w:r>
        <w:t>al</w:t>
      </w:r>
      <w:r>
        <w:rPr>
          <w:lang w:val="el-GR"/>
        </w:rPr>
        <w:t xml:space="preserve">., </w:t>
      </w:r>
      <w:r>
        <w:rPr>
          <w:lang w:val="el-GR"/>
        </w:rPr>
        <w:lastRenderedPageBreak/>
        <w:t>2025·</w:t>
      </w:r>
      <w:r>
        <w:t>Osborne</w:t>
      </w:r>
      <w:r>
        <w:rPr>
          <w:lang w:val="el-GR"/>
        </w:rPr>
        <w:t xml:space="preserve"> </w:t>
      </w:r>
      <w:r>
        <w:t>et</w:t>
      </w:r>
      <w:r>
        <w:rPr>
          <w:lang w:val="el-GR"/>
        </w:rPr>
        <w:t xml:space="preserve"> </w:t>
      </w:r>
      <w:r>
        <w:t>al</w:t>
      </w:r>
      <w:r>
        <w:rPr>
          <w:lang w:val="el-GR"/>
        </w:rPr>
        <w:t>., 2025). Με απλούστερους όρους, η βία -συμπεριλαμβανομένης της συντροφικής βίας, αλλά και της κακοποίησης παιδιών, της κακοποίησης ηλικιωμένων και άλλων μορφών βίας μεταξύ συγγενικών προσώπων- εμφανίζεται με μεγαλύτερη πιθανότητα σε διαδοχικές γενιές της ίδιας οικογένειας, σε σύγκριση με τη συχνότητά της στον γενικό πληθυσμό. Η θεωρία αυτή έχει μελετηθεί εκτενώς, καθώς δεν εξηγεί μόνο το υψηλότερο από το αναμενόμενο ποσοστό βίας σε διαδοχικές γενιές της ίδιας οικογένειας, αλλά προσφέρει επίσης έναν τρόπο ερμηνείας των συνδέσεων μεταξύ διαφορετικών μορφών ενδοοικογενειακής βίας που συνυπάρχουν καθ' όλη τη διάρκεια της ζωής. Συγκεκριμένα, η θεωρία αυτή είναι αρκετά ευρεία ώστε να συμπεριλάβει τις συνδέσεις μεταξύ της κακοποίησης παιδιών, της έκθεσης σε συντροφική βία μεταξύ γονέων ή προσώπων φροντίδας κατά την παιδική ηλικία, της διάπραξης ή/και βίωσης βίας σε συντροφικές σχέσεις κατά την εφηβεία και την ενήλικη ζωή, και, τέλος, της διάπραξης κακοποίησης προς τα δικά του παιδιά αργότερα στη ζωή του ατόμου (</w:t>
      </w:r>
      <w:proofErr w:type="spellStart"/>
      <w:r>
        <w:t>Ehrensaft</w:t>
      </w:r>
      <w:proofErr w:type="spellEnd"/>
      <w:r>
        <w:rPr>
          <w:lang w:val="el-GR"/>
        </w:rPr>
        <w:t xml:space="preserve"> &amp; </w:t>
      </w:r>
      <w:proofErr w:type="spellStart"/>
      <w:r>
        <w:t>Langhinrichsen</w:t>
      </w:r>
      <w:proofErr w:type="spellEnd"/>
      <w:r>
        <w:rPr>
          <w:lang w:val="el-GR"/>
        </w:rPr>
        <w:t>-</w:t>
      </w:r>
      <w:r>
        <w:t>Rohling</w:t>
      </w:r>
      <w:r>
        <w:rPr>
          <w:lang w:val="el-GR"/>
        </w:rPr>
        <w:t>, 2022).</w:t>
      </w:r>
    </w:p>
    <w:p w14:paraId="1D1F84C7" w14:textId="77777777" w:rsidR="00E63D5B" w:rsidRPr="00132066" w:rsidRDefault="001F059D">
      <w:pPr>
        <w:rPr>
          <w:lang w:val="el-GR"/>
        </w:rPr>
      </w:pPr>
      <w:r>
        <w:rPr>
          <w:lang w:val="el-GR"/>
        </w:rPr>
        <w:t xml:space="preserve">Σημαντική για την κατανόηση του φαινομένου είναι η </w:t>
      </w:r>
      <w:r>
        <w:rPr>
          <w:b/>
          <w:bCs/>
          <w:lang w:val="el-GR"/>
        </w:rPr>
        <w:t>διάκριση δύο αλληλένδετων</w:t>
      </w:r>
      <w:r>
        <w:rPr>
          <w:lang w:val="el-GR"/>
        </w:rPr>
        <w:t xml:space="preserve">, αλλά εννοιολογικά διακριτών διαδικασιών. Αφενός της </w:t>
      </w:r>
      <w:proofErr w:type="spellStart"/>
      <w:r>
        <w:rPr>
          <w:lang w:val="el-GR"/>
        </w:rPr>
        <w:t>διαγενεακής</w:t>
      </w:r>
      <w:proofErr w:type="spellEnd"/>
      <w:r>
        <w:rPr>
          <w:lang w:val="el-GR"/>
        </w:rPr>
        <w:t xml:space="preserve"> μετάδοσης της βίαιης συμπεριφοράς, δηλαδή της αναπαραγωγής προτύπων διάπραξης ή </w:t>
      </w:r>
      <w:proofErr w:type="spellStart"/>
      <w:r>
        <w:rPr>
          <w:lang w:val="el-GR"/>
        </w:rPr>
        <w:t>θυματοποίησης</w:t>
      </w:r>
      <w:proofErr w:type="spellEnd"/>
      <w:r>
        <w:rPr>
          <w:lang w:val="el-GR"/>
        </w:rPr>
        <w:t xml:space="preserve">, και αφετέρου της </w:t>
      </w:r>
      <w:proofErr w:type="spellStart"/>
      <w:r>
        <w:rPr>
          <w:lang w:val="el-GR"/>
        </w:rPr>
        <w:t>διαγενεακής</w:t>
      </w:r>
      <w:proofErr w:type="spellEnd"/>
      <w:r>
        <w:rPr>
          <w:lang w:val="el-GR"/>
        </w:rPr>
        <w:t xml:space="preserve"> μετάδοσης του τραύματος, η οποία αφορά τον τρόπο με τον οποίο οι τραυματικές εμπειρίες μιας γενιάς επηρεάζουν την ψυχική λειτουργία και την ανάπτυξη της επόμενης, ακόμη και όταν τα παιδιά δεν υφίστανται άμεσα κακοποίηση. Η κατανόηση των μηχανισμών αυτών αποτελεί θεμελιώδη προϋπόθεση για τη σχεδίαση αποτελεσματικών παρεμβάσεων. Η παρούσα ενότητα εξετάζει διαδοχικά τα θεωρητικά μοντέλα που έχουν προταθεί για την ερμηνεία του φαινομένου, τα εμπειρικά δεδομένα σχετικά με τη </w:t>
      </w:r>
      <w:proofErr w:type="spellStart"/>
      <w:r>
        <w:rPr>
          <w:lang w:val="el-GR"/>
        </w:rPr>
        <w:t>διαγενεακή</w:t>
      </w:r>
      <w:proofErr w:type="spellEnd"/>
      <w:r>
        <w:rPr>
          <w:lang w:val="el-GR"/>
        </w:rPr>
        <w:t xml:space="preserve"> μετάδοση της βίας και του τραύματος, τους μηχανισμούς που διαμεσολαβούν τη μετάδοση αυτή, τις επιπτώσεις της έκθεσης στη βία στα παιδιά, καθώς και τα βασικά μεθοδολογικά ζητήματα που ανακύπτουν στη σχετική βιβλιογραφία.</w:t>
      </w:r>
    </w:p>
    <w:p w14:paraId="5D357CB1" w14:textId="77777777" w:rsidR="00E63D5B" w:rsidRPr="00132066" w:rsidRDefault="001F059D">
      <w:pPr>
        <w:pStyle w:val="3"/>
        <w:rPr>
          <w:lang w:val="el-GR"/>
        </w:rPr>
      </w:pPr>
      <w:r>
        <w:rPr>
          <w:lang w:val="el-GR"/>
        </w:rPr>
        <w:t>Θεωρητικό πλαίσιο</w:t>
      </w:r>
    </w:p>
    <w:p w14:paraId="67FD6731" w14:textId="77777777" w:rsidR="00E63D5B" w:rsidRPr="00132066" w:rsidRDefault="001F059D">
      <w:pPr>
        <w:rPr>
          <w:lang w:val="el-GR"/>
        </w:rPr>
      </w:pPr>
      <w:r>
        <w:rPr>
          <w:lang w:val="el-GR"/>
        </w:rPr>
        <w:t xml:space="preserve">Η </w:t>
      </w:r>
      <w:proofErr w:type="spellStart"/>
      <w:r>
        <w:rPr>
          <w:lang w:val="el-GR"/>
        </w:rPr>
        <w:t>διαγενεακή</w:t>
      </w:r>
      <w:proofErr w:type="spellEnd"/>
      <w:r>
        <w:rPr>
          <w:lang w:val="el-GR"/>
        </w:rPr>
        <w:t xml:space="preserve"> μετάδοση της συντροφικής και ενδοοικογενειακής βίας αποτελεί ένα σύνθετο φαινόμενο που δεν μπορεί να εξηγηθεί επαρκώς από μία μόνο θεωρητική προσέγγιση (</w:t>
      </w:r>
      <w:proofErr w:type="spellStart"/>
      <w:r>
        <w:t>Ehrensaft</w:t>
      </w:r>
      <w:proofErr w:type="spellEnd"/>
      <w:r>
        <w:rPr>
          <w:lang w:val="el-GR"/>
        </w:rPr>
        <w:t xml:space="preserve"> &amp; </w:t>
      </w:r>
      <w:proofErr w:type="spellStart"/>
      <w:r>
        <w:t>Langhinrichsen</w:t>
      </w:r>
      <w:proofErr w:type="spellEnd"/>
      <w:r>
        <w:rPr>
          <w:lang w:val="el-GR"/>
        </w:rPr>
        <w:t>-</w:t>
      </w:r>
      <w:r>
        <w:t>Rohling</w:t>
      </w:r>
      <w:r>
        <w:rPr>
          <w:lang w:val="el-GR"/>
        </w:rPr>
        <w:t xml:space="preserve">, 2022). Αντίθετα, η σύγχρονη βιβλιογραφία υποστηρίζει ότι η αναπαραγωγή της βίας μεταξύ γενεών προκύπτει από την αλληλεπίδραση διαπροσωπικών, ψυχολογικών, βιολογικών και κοινωνικών μηχανισμών. Διαφορετικά θεωρητικά μοντέλα έχουν εστιάσει σε διαφορετικές πτυχές αυτής της διαδικασίας, αναδεικνύοντας τον ρόλο της προσκόλλησης, της κοινωνικής μάθησης, της επεξεργασίας του τραύματος, της συναισθηματικής ασφάλειας, των ατομικών ψυχολογικών χαρακτηριστικών και των </w:t>
      </w:r>
      <w:proofErr w:type="spellStart"/>
      <w:r>
        <w:rPr>
          <w:lang w:val="el-GR"/>
        </w:rPr>
        <w:t>νευροβιολογικών</w:t>
      </w:r>
      <w:proofErr w:type="spellEnd"/>
      <w:r>
        <w:rPr>
          <w:lang w:val="el-GR"/>
        </w:rPr>
        <w:t xml:space="preserve"> συνεπειών της πρώιμης έκθεσης στη βία. Τα μοντέλα αυτά δεν είναι </w:t>
      </w:r>
      <w:proofErr w:type="spellStart"/>
      <w:r>
        <w:rPr>
          <w:lang w:val="el-GR"/>
        </w:rPr>
        <w:t>αλληλοαποκλειόμενα</w:t>
      </w:r>
      <w:proofErr w:type="spellEnd"/>
      <w:r>
        <w:rPr>
          <w:lang w:val="el-GR"/>
        </w:rPr>
        <w:t>. Αντίθετα, θεωρείται ότι λειτουργούν συμπληρωματικά, φωτίζοντας διαφορετικές διαδρομές μέσω των οποίων οι εμπειρίες βίας των γονέων μπορεί να επηρεάσουν τις σχέσεις, τη γονεϊκότητα και την ψυχοκοινωνική ανάπτυξη της επόμενης γενιάς (</w:t>
      </w:r>
      <w:r>
        <w:t>Bowe</w:t>
      </w:r>
      <w:r>
        <w:rPr>
          <w:lang w:val="el-GR"/>
        </w:rPr>
        <w:t xml:space="preserve"> </w:t>
      </w:r>
      <w:r>
        <w:t>et</w:t>
      </w:r>
      <w:r>
        <w:rPr>
          <w:lang w:val="el-GR"/>
        </w:rPr>
        <w:t xml:space="preserve"> </w:t>
      </w:r>
      <w:r>
        <w:t>al</w:t>
      </w:r>
      <w:r>
        <w:rPr>
          <w:lang w:val="el-GR"/>
        </w:rPr>
        <w:t xml:space="preserve">., 2025). Παράλληλα, νεότερες προσεγγίσεις έχουν αναδείξει και τον ρόλο γενετικών και </w:t>
      </w:r>
      <w:proofErr w:type="spellStart"/>
      <w:r>
        <w:rPr>
          <w:lang w:val="el-GR"/>
        </w:rPr>
        <w:t>επιγενετικών</w:t>
      </w:r>
      <w:proofErr w:type="spellEnd"/>
      <w:r>
        <w:rPr>
          <w:lang w:val="el-GR"/>
        </w:rPr>
        <w:t xml:space="preserve"> μηχανισμών, οι οποίοι ενδέχεται να συμβάλλουν στη </w:t>
      </w:r>
      <w:proofErr w:type="spellStart"/>
      <w:r>
        <w:rPr>
          <w:lang w:val="el-GR"/>
        </w:rPr>
        <w:t>διαγενεακή</w:t>
      </w:r>
      <w:proofErr w:type="spellEnd"/>
      <w:r>
        <w:rPr>
          <w:lang w:val="el-GR"/>
        </w:rPr>
        <w:t xml:space="preserve"> συνέχεια των δυσμενών εμπειριών. Ωστόσο, καμία μεμονωμένη θεωρία δεν επαρκεί για να εξηγήσει την πολυπλοκότητα του φαινομένου, γεγονός που έχει οδηγήσει στη σταδιακή υιοθέτηση </w:t>
      </w:r>
      <w:proofErr w:type="spellStart"/>
      <w:r>
        <w:rPr>
          <w:lang w:val="el-GR"/>
        </w:rPr>
        <w:t>πολυπαραγοντικών</w:t>
      </w:r>
      <w:proofErr w:type="spellEnd"/>
      <w:r>
        <w:rPr>
          <w:lang w:val="el-GR"/>
        </w:rPr>
        <w:t xml:space="preserve"> πλαισίων, όπως το </w:t>
      </w:r>
      <w:proofErr w:type="spellStart"/>
      <w:r>
        <w:rPr>
          <w:lang w:val="el-GR"/>
        </w:rPr>
        <w:t>κοινωνικο</w:t>
      </w:r>
      <w:proofErr w:type="spellEnd"/>
      <w:r>
        <w:rPr>
          <w:lang w:val="el-GR"/>
        </w:rPr>
        <w:t>-οικολογικό μοντέλο της βίας, το οποίο ενσωματώνει ατομικούς, οικογενειακούς, κοινοτικούς και κοινωνικούς παράγοντες κινδύνου και προστασίας.</w:t>
      </w:r>
    </w:p>
    <w:p w14:paraId="7F6CBB48" w14:textId="77777777" w:rsidR="00E63D5B" w:rsidRPr="00132066" w:rsidRDefault="001F059D">
      <w:pPr>
        <w:rPr>
          <w:lang w:val="el-GR"/>
        </w:rPr>
      </w:pPr>
      <w:r>
        <w:rPr>
          <w:lang w:val="el-GR"/>
        </w:rPr>
        <w:lastRenderedPageBreak/>
        <w:t>Από τη σκοπιά της θεωρίας του δεσμού (</w:t>
      </w:r>
      <w:r>
        <w:t>Bowlby</w:t>
      </w:r>
      <w:r>
        <w:rPr>
          <w:lang w:val="el-GR"/>
        </w:rPr>
        <w:t>, 1969, 1973), οι πρώιμες αλληλεπιδράσεις με τα πρόσωπα φροντίδας διαμορφώνουν εσωτερικά μοντέλα για τον εαυτό, τους άλλους και τις σχέσεις. Η ενδοοικογενειακή βία υπονομεύει την ασφάλεια αυτής της σχέσης: όταν το παιδί βλέπει τα πρόσωπα που το φροντίζουν να συγκρούονται βίαια, βρίσκεται αντιμέτωπο με έναν «φόβο χωρίς λύση», αφού το πρόσωπο που θα έπρεπε να το προστατεύει είναι ταυτόχρονα η πηγή της απειλής (</w:t>
      </w:r>
      <w:r>
        <w:t>Hesse</w:t>
      </w:r>
      <w:r>
        <w:rPr>
          <w:lang w:val="el-GR"/>
        </w:rPr>
        <w:t xml:space="preserve"> &amp; </w:t>
      </w:r>
      <w:r>
        <w:t>Main</w:t>
      </w:r>
      <w:r>
        <w:rPr>
          <w:lang w:val="el-GR"/>
        </w:rPr>
        <w:t>, 2006·</w:t>
      </w:r>
      <w:r>
        <w:t>Cyr</w:t>
      </w:r>
      <w:r>
        <w:rPr>
          <w:lang w:val="el-GR"/>
        </w:rPr>
        <w:t xml:space="preserve"> </w:t>
      </w:r>
      <w:r>
        <w:t>et</w:t>
      </w:r>
      <w:r>
        <w:rPr>
          <w:lang w:val="el-GR"/>
        </w:rPr>
        <w:t xml:space="preserve"> </w:t>
      </w:r>
      <w:r>
        <w:t>al</w:t>
      </w:r>
      <w:r>
        <w:rPr>
          <w:lang w:val="el-GR"/>
        </w:rPr>
        <w:t>., 2010). Τα παιδιά αυτά αναπτύσσουν συχνά ανασφαλείς ή αποδιοργανωμένους δεσμούς (</w:t>
      </w:r>
      <w:r>
        <w:t>Main</w:t>
      </w:r>
      <w:r>
        <w:rPr>
          <w:lang w:val="el-GR"/>
        </w:rPr>
        <w:t xml:space="preserve"> &amp; </w:t>
      </w:r>
      <w:r>
        <w:t>Hesse</w:t>
      </w:r>
      <w:r>
        <w:rPr>
          <w:lang w:val="el-GR"/>
        </w:rPr>
        <w:t>, 1990), ενώ τα ανεπίλυτα τραύματα των γονέων, ιδίως όσα αφορούν παιδική κακοποίηση ή απώλεια, συνδέονται με αυξημένη πιθανότητα αποδιοργανωμένης προσκόλλησης στα δικά τους παιδιά (</w:t>
      </w:r>
      <w:r>
        <w:t>Main</w:t>
      </w:r>
      <w:r>
        <w:rPr>
          <w:lang w:val="el-GR"/>
        </w:rPr>
        <w:t xml:space="preserve"> &amp; </w:t>
      </w:r>
      <w:r>
        <w:t>Goldwyn</w:t>
      </w:r>
      <w:r>
        <w:rPr>
          <w:lang w:val="el-GR"/>
        </w:rPr>
        <w:t>, 1984·</w:t>
      </w:r>
      <w:r>
        <w:t>van</w:t>
      </w:r>
      <w:r>
        <w:rPr>
          <w:lang w:val="el-GR"/>
        </w:rPr>
        <w:t xml:space="preserve"> </w:t>
      </w:r>
      <w:proofErr w:type="spellStart"/>
      <w:r>
        <w:t>IJzendoorn</w:t>
      </w:r>
      <w:proofErr w:type="spellEnd"/>
      <w:r>
        <w:rPr>
          <w:lang w:val="el-GR"/>
        </w:rPr>
        <w:t>, 1995). Η μετάδοση φαίνεται να περνά μέσα από τη γονεϊκή συμπεριφορά: γονείς με ανεπεξέργαστα τραυματικά βιώματα μπορεί να συμπεριφέρονται ασυνεπώς, φοβισμένα ή εκφοβιστικά προς τα παιδιά τους (</w:t>
      </w:r>
      <w:r>
        <w:t>Benoit</w:t>
      </w:r>
      <w:r>
        <w:rPr>
          <w:lang w:val="el-GR"/>
        </w:rPr>
        <w:t xml:space="preserve"> &amp; </w:t>
      </w:r>
      <w:r>
        <w:t>Parker</w:t>
      </w:r>
      <w:r>
        <w:rPr>
          <w:lang w:val="el-GR"/>
        </w:rPr>
        <w:t>, 1994), και η συντροφική βία διαταράσσει τη σχέση μητέρας–παιδιού ήδη από την προσχολική ηλικία (</w:t>
      </w:r>
      <w:r>
        <w:t>Levendosky</w:t>
      </w:r>
      <w:r>
        <w:rPr>
          <w:lang w:val="el-GR"/>
        </w:rPr>
        <w:t xml:space="preserve"> </w:t>
      </w:r>
      <w:r>
        <w:t>et</w:t>
      </w:r>
      <w:r>
        <w:rPr>
          <w:lang w:val="el-GR"/>
        </w:rPr>
        <w:t xml:space="preserve"> </w:t>
      </w:r>
      <w:r>
        <w:t>al</w:t>
      </w:r>
      <w:r>
        <w:rPr>
          <w:lang w:val="el-GR"/>
        </w:rPr>
        <w:t>., 2003). Η θεωρία της συναισθηματικής ασφάλειας (</w:t>
      </w:r>
      <w:r>
        <w:t>Davies</w:t>
      </w:r>
      <w:r>
        <w:rPr>
          <w:lang w:val="el-GR"/>
        </w:rPr>
        <w:t xml:space="preserve"> &amp; </w:t>
      </w:r>
      <w:r>
        <w:t>Cummings</w:t>
      </w:r>
      <w:r>
        <w:rPr>
          <w:lang w:val="el-GR"/>
        </w:rPr>
        <w:t xml:space="preserve">, 1994) μεταφέρει την έμφαση στο σύνολο του οικογενειακού συστήματος: η επίμονη και καταστροφική σύγκρουση μεταξύ των γονέων υπονομεύει την προσπάθεια του παιδιού να νιώσει ασφαλές στην οικογένεια και οδηγεί σε </w:t>
      </w:r>
      <w:proofErr w:type="spellStart"/>
      <w:r>
        <w:rPr>
          <w:lang w:val="el-GR"/>
        </w:rPr>
        <w:t>υπερεπαγρύπνηση</w:t>
      </w:r>
      <w:proofErr w:type="spellEnd"/>
      <w:r>
        <w:rPr>
          <w:lang w:val="el-GR"/>
        </w:rPr>
        <w:t>, δυσκολίες ρύθμισης και αρνητικές προσδοκίες για τις στενές σχέσεις.</w:t>
      </w:r>
    </w:p>
    <w:p w14:paraId="0959BC5C" w14:textId="77777777" w:rsidR="00E63D5B" w:rsidRPr="00132066" w:rsidRDefault="001F059D">
      <w:pPr>
        <w:rPr>
          <w:lang w:val="el-GR"/>
        </w:rPr>
      </w:pPr>
      <w:r>
        <w:rPr>
          <w:lang w:val="el-GR"/>
        </w:rPr>
        <w:t>Η κοινωνική θεωρία μάθησης (</w:t>
      </w:r>
      <w:r>
        <w:t>Bandura</w:t>
      </w:r>
      <w:r>
        <w:rPr>
          <w:lang w:val="el-GR"/>
        </w:rPr>
        <w:t xml:space="preserve">, 1977) αποτελεί το πιο ευρέως αναφερόμενο πλαίσιο στη βιβλιογραφία αυτή. Προτείνει ότι τα παιδιά που μεγαλώνουν σε βίαια περιβάλλοντα μαθαίνουν, μέσω παρατήρησης και </w:t>
      </w:r>
      <w:proofErr w:type="spellStart"/>
      <w:r>
        <w:rPr>
          <w:lang w:val="el-GR"/>
        </w:rPr>
        <w:t>μοντελοποίησης</w:t>
      </w:r>
      <w:proofErr w:type="spellEnd"/>
      <w:r>
        <w:rPr>
          <w:lang w:val="el-GR"/>
        </w:rPr>
        <w:t xml:space="preserve">, ότι η βία αποτελεί νόρμα και αποτελεσματική απόκριση στη σύγκρουση. Τα </w:t>
      </w:r>
      <w:proofErr w:type="spellStart"/>
      <w:r>
        <w:rPr>
          <w:lang w:val="el-GR"/>
        </w:rPr>
        <w:t>συμπεριφορικά</w:t>
      </w:r>
      <w:proofErr w:type="spellEnd"/>
      <w:r>
        <w:rPr>
          <w:lang w:val="el-GR"/>
        </w:rPr>
        <w:t xml:space="preserve"> αυτά σχήματα </w:t>
      </w:r>
      <w:proofErr w:type="spellStart"/>
      <w:r>
        <w:rPr>
          <w:lang w:val="el-GR"/>
        </w:rPr>
        <w:t>ενδοβάλλονται</w:t>
      </w:r>
      <w:proofErr w:type="spellEnd"/>
      <w:r>
        <w:rPr>
          <w:lang w:val="el-GR"/>
        </w:rPr>
        <w:t xml:space="preserve"> σταδιακά και αναπαράγονται στις δικές τους ενήλικες σχέσεις. Η μαρτυρία ή η εμπειρία βίας στην παιδική ηλικία μπορεί έτσι να συμβάλει στην </w:t>
      </w:r>
      <w:proofErr w:type="spellStart"/>
      <w:r>
        <w:rPr>
          <w:lang w:val="el-GR"/>
        </w:rPr>
        <w:t>κανονικοποίηση</w:t>
      </w:r>
      <w:proofErr w:type="spellEnd"/>
      <w:r>
        <w:rPr>
          <w:lang w:val="el-GR"/>
        </w:rPr>
        <w:t xml:space="preserve"> της επιθετικότητας ως αποδεκτού τρόπου επίλυσης συγκρούσεων και ρύθμισης των διαπροσωπικών σχέσεων.</w:t>
      </w:r>
    </w:p>
    <w:p w14:paraId="529BCAFF" w14:textId="77777777" w:rsidR="00E63D5B" w:rsidRPr="00132066" w:rsidRDefault="001F059D">
      <w:pPr>
        <w:rPr>
          <w:lang w:val="el-GR"/>
        </w:rPr>
      </w:pPr>
      <w:r>
        <w:rPr>
          <w:lang w:val="el-GR"/>
        </w:rPr>
        <w:t xml:space="preserve">Η ίδια λογική βρίσκεται στον πυρήνα του μοντέλου της </w:t>
      </w:r>
      <w:proofErr w:type="spellStart"/>
      <w:r>
        <w:rPr>
          <w:lang w:val="el-GR"/>
        </w:rPr>
        <w:t>διαγενεακής</w:t>
      </w:r>
      <w:proofErr w:type="spellEnd"/>
      <w:r>
        <w:rPr>
          <w:lang w:val="el-GR"/>
        </w:rPr>
        <w:t xml:space="preserve"> μετάδοσης της βίας (</w:t>
      </w:r>
      <w:proofErr w:type="spellStart"/>
      <w:r>
        <w:t>Kalmuss</w:t>
      </w:r>
      <w:proofErr w:type="spellEnd"/>
      <w:r>
        <w:rPr>
          <w:lang w:val="el-GR"/>
        </w:rPr>
        <w:t>, 1984): όταν η βία φαίνεται να «αποδίδει», επιλύοντας συγκρούσεις ή εξασφαλίζοντας έλεγχο, τα παιδιά μπορεί να την αντιληφθούν ως αποτελεσματική στρατηγική, ενώ ταυτόχρονα στερούνται την ευκαιρία να δουν εναλλακτικούς τρόπους επίλυσης, όπως η διαπραγμάτευση και η αυτορρύθμιση (</w:t>
      </w:r>
      <w:proofErr w:type="spellStart"/>
      <w:r>
        <w:t>Ehrensaft</w:t>
      </w:r>
      <w:proofErr w:type="spellEnd"/>
      <w:r>
        <w:rPr>
          <w:lang w:val="el-GR"/>
        </w:rPr>
        <w:t xml:space="preserve"> </w:t>
      </w:r>
      <w:r>
        <w:t>et</w:t>
      </w:r>
      <w:r>
        <w:rPr>
          <w:lang w:val="el-GR"/>
        </w:rPr>
        <w:t xml:space="preserve"> </w:t>
      </w:r>
      <w:r>
        <w:t>al</w:t>
      </w:r>
      <w:r>
        <w:rPr>
          <w:lang w:val="el-GR"/>
        </w:rPr>
        <w:t>., 2003·</w:t>
      </w:r>
      <w:r>
        <w:t>Foshee</w:t>
      </w:r>
      <w:r>
        <w:rPr>
          <w:lang w:val="el-GR"/>
        </w:rPr>
        <w:t xml:space="preserve"> </w:t>
      </w:r>
      <w:r>
        <w:t>et</w:t>
      </w:r>
      <w:r>
        <w:rPr>
          <w:lang w:val="el-GR"/>
        </w:rPr>
        <w:t xml:space="preserve"> </w:t>
      </w:r>
      <w:r>
        <w:t>al</w:t>
      </w:r>
      <w:r>
        <w:rPr>
          <w:lang w:val="el-GR"/>
        </w:rPr>
        <w:t>., 1999). Η κοινωνική μάθηση επεκτείνεται και στη γονεϊκότητα, καθώς οι ενήλικες τείνουν να αναπαράγουν τις πρακτικές ανατροφής που βίωσαν (</w:t>
      </w:r>
      <w:r>
        <w:t>van</w:t>
      </w:r>
      <w:r>
        <w:rPr>
          <w:lang w:val="el-GR"/>
        </w:rPr>
        <w:t xml:space="preserve"> </w:t>
      </w:r>
      <w:proofErr w:type="spellStart"/>
      <w:r>
        <w:t>IJzendoorn</w:t>
      </w:r>
      <w:proofErr w:type="spellEnd"/>
      <w:r>
        <w:rPr>
          <w:lang w:val="el-GR"/>
        </w:rPr>
        <w:t>, 1992·</w:t>
      </w:r>
      <w:proofErr w:type="spellStart"/>
      <w:r>
        <w:t>Putallaz</w:t>
      </w:r>
      <w:proofErr w:type="spellEnd"/>
      <w:r>
        <w:rPr>
          <w:lang w:val="el-GR"/>
        </w:rPr>
        <w:t xml:space="preserve"> </w:t>
      </w:r>
      <w:r>
        <w:t>et</w:t>
      </w:r>
      <w:r>
        <w:rPr>
          <w:lang w:val="el-GR"/>
        </w:rPr>
        <w:t xml:space="preserve"> </w:t>
      </w:r>
      <w:r>
        <w:t>al</w:t>
      </w:r>
      <w:r>
        <w:rPr>
          <w:lang w:val="el-GR"/>
        </w:rPr>
        <w:t>., 1998), χωρίς όμως αυτό να είναι αναπόφευκτο: σημαντικός αριθμός ατόμων με ιστορικό κακοποίησης δεν την αναπαράγει (</w:t>
      </w:r>
      <w:r>
        <w:t>Kaufman</w:t>
      </w:r>
      <w:r>
        <w:rPr>
          <w:lang w:val="el-GR"/>
        </w:rPr>
        <w:t xml:space="preserve"> &amp; </w:t>
      </w:r>
      <w:r>
        <w:t>Zigler</w:t>
      </w:r>
      <w:r>
        <w:rPr>
          <w:lang w:val="el-GR"/>
        </w:rPr>
        <w:t>, 1987).</w:t>
      </w:r>
    </w:p>
    <w:p w14:paraId="3DC76D9B" w14:textId="77777777" w:rsidR="00E63D5B" w:rsidRPr="00132066" w:rsidRDefault="001F059D">
      <w:pPr>
        <w:rPr>
          <w:lang w:val="el-GR"/>
        </w:rPr>
      </w:pPr>
      <w:r>
        <w:rPr>
          <w:lang w:val="el-GR"/>
        </w:rPr>
        <w:t xml:space="preserve">Το μοντέλο της μαθημένης </w:t>
      </w:r>
      <w:proofErr w:type="spellStart"/>
      <w:r>
        <w:rPr>
          <w:lang w:val="el-GR"/>
        </w:rPr>
        <w:t>αβοηθητότητας</w:t>
      </w:r>
      <w:proofErr w:type="spellEnd"/>
      <w:r>
        <w:rPr>
          <w:lang w:val="el-GR"/>
        </w:rPr>
        <w:t xml:space="preserve"> (</w:t>
      </w:r>
      <w:r>
        <w:t>Seligman</w:t>
      </w:r>
      <w:r>
        <w:rPr>
          <w:lang w:val="el-GR"/>
        </w:rPr>
        <w:t xml:space="preserve">, 1975) χρησιμοποιήθηκε για να ερμηνεύσει τη μειωμένη αίσθηση ελέγχου και την </w:t>
      </w:r>
      <w:proofErr w:type="spellStart"/>
      <w:r>
        <w:rPr>
          <w:lang w:val="el-GR"/>
        </w:rPr>
        <w:t>ευαλωτότητα</w:t>
      </w:r>
      <w:proofErr w:type="spellEnd"/>
      <w:r>
        <w:rPr>
          <w:lang w:val="el-GR"/>
        </w:rPr>
        <w:t xml:space="preserve"> σε </w:t>
      </w:r>
      <w:proofErr w:type="spellStart"/>
      <w:r>
        <w:rPr>
          <w:lang w:val="el-GR"/>
        </w:rPr>
        <w:t>επαναθυματοποίηση</w:t>
      </w:r>
      <w:proofErr w:type="spellEnd"/>
      <w:r>
        <w:rPr>
          <w:lang w:val="el-GR"/>
        </w:rPr>
        <w:t xml:space="preserve">, έχει όμως δεχθεί σοβαρή κριτική επειδή </w:t>
      </w:r>
      <w:proofErr w:type="spellStart"/>
      <w:r>
        <w:rPr>
          <w:lang w:val="el-GR"/>
        </w:rPr>
        <w:t>παθολογικοποιεί</w:t>
      </w:r>
      <w:proofErr w:type="spellEnd"/>
      <w:r>
        <w:rPr>
          <w:lang w:val="el-GR"/>
        </w:rPr>
        <w:t xml:space="preserve"> τις αντιδράσεις των επιζωσών και υποτιμά τις ενεργητικές στρατηγικές τους (</w:t>
      </w:r>
      <w:r>
        <w:t>Gondolf</w:t>
      </w:r>
      <w:r>
        <w:rPr>
          <w:lang w:val="el-GR"/>
        </w:rPr>
        <w:t xml:space="preserve"> &amp; </w:t>
      </w:r>
      <w:r>
        <w:t>Fisher</w:t>
      </w:r>
      <w:r>
        <w:rPr>
          <w:lang w:val="el-GR"/>
        </w:rPr>
        <w:t>, 1988). Η παραμονή στη σχέση ή η δυσκολία καταγγελίας συχνά αντανακλούν την εκτίμηση ενός πραγματικού κινδύνου, οικονομικούς και θεσμικούς περιορισμούς ή προσπάθειες διαχείρισης του εξαναγκαστικού ελέγχου (</w:t>
      </w:r>
      <w:r>
        <w:t>Anderson</w:t>
      </w:r>
      <w:r>
        <w:rPr>
          <w:lang w:val="el-GR"/>
        </w:rPr>
        <w:t xml:space="preserve"> &amp; </w:t>
      </w:r>
      <w:r>
        <w:t>Saunders</w:t>
      </w:r>
      <w:r>
        <w:rPr>
          <w:lang w:val="el-GR"/>
        </w:rPr>
        <w:t>, 2003·</w:t>
      </w:r>
      <w:r>
        <w:t>Stark</w:t>
      </w:r>
      <w:r>
        <w:rPr>
          <w:lang w:val="el-GR"/>
        </w:rPr>
        <w:t>, 2007).</w:t>
      </w:r>
    </w:p>
    <w:p w14:paraId="26C4AC66" w14:textId="77777777" w:rsidR="00E63D5B" w:rsidRPr="00132066" w:rsidRDefault="001F059D">
      <w:pPr>
        <w:rPr>
          <w:lang w:val="el-GR"/>
        </w:rPr>
      </w:pPr>
      <w:r>
        <w:rPr>
          <w:lang w:val="el-GR"/>
        </w:rPr>
        <w:t>Η αναπτυξιακή ψυχοπαθολογία βλέπει την προσαρμογή ως δυναμική διαδικασία, προϊόν της συνεχούς αλληλεπίδρασης βιολογικών χαρακτηριστικών, εμπειριών και κοινωνικών συνθηκών (</w:t>
      </w:r>
      <w:r>
        <w:t>Rutter</w:t>
      </w:r>
      <w:r>
        <w:rPr>
          <w:lang w:val="el-GR"/>
        </w:rPr>
        <w:t xml:space="preserve"> &amp; </w:t>
      </w:r>
      <w:r>
        <w:t>Sroufe</w:t>
      </w:r>
      <w:r>
        <w:rPr>
          <w:lang w:val="el-GR"/>
        </w:rPr>
        <w:t xml:space="preserve">, 2000). Η χρόνια έκθεση σε απειλή μπορεί να επηρεάσει τη συναισθηματική ρύθμιση, τον έλεγχο των παρορμήσεων, την επεξεργασία κοινωνικών πληροφοριών και τις σχέσεις με συνομήλικα άτομα, και οι αρχικές δυσκολίες να πυροδοτήσουν «αλυσιδωτές» αναπτυξιακές ακολουθίες. Η παρατεταμένη ενεργοποίηση των συστημάτων του στρες έχει συνδεθεί με </w:t>
      </w:r>
      <w:r>
        <w:rPr>
          <w:lang w:val="el-GR"/>
        </w:rPr>
        <w:lastRenderedPageBreak/>
        <w:t xml:space="preserve">διαφοροποιήσεις στον άξονα υποθαλάμου–υπόφυσης–επινεφριδίων και σε </w:t>
      </w:r>
      <w:proofErr w:type="spellStart"/>
      <w:r>
        <w:rPr>
          <w:lang w:val="el-GR"/>
        </w:rPr>
        <w:t>νευρωνικά</w:t>
      </w:r>
      <w:proofErr w:type="spellEnd"/>
      <w:r>
        <w:rPr>
          <w:lang w:val="el-GR"/>
        </w:rPr>
        <w:t xml:space="preserve"> δίκτυα επεξεργασίας της απειλής (</w:t>
      </w:r>
      <w:r>
        <w:t>De</w:t>
      </w:r>
      <w:r>
        <w:rPr>
          <w:lang w:val="el-GR"/>
        </w:rPr>
        <w:t xml:space="preserve"> </w:t>
      </w:r>
      <w:r>
        <w:t>Bellis</w:t>
      </w:r>
      <w:r>
        <w:rPr>
          <w:lang w:val="el-GR"/>
        </w:rPr>
        <w:t xml:space="preserve"> </w:t>
      </w:r>
      <w:r>
        <w:t>et</w:t>
      </w:r>
      <w:r>
        <w:rPr>
          <w:lang w:val="el-GR"/>
        </w:rPr>
        <w:t xml:space="preserve"> </w:t>
      </w:r>
      <w:r>
        <w:t>al</w:t>
      </w:r>
      <w:r>
        <w:rPr>
          <w:lang w:val="el-GR"/>
        </w:rPr>
        <w:t>., 1999·</w:t>
      </w:r>
      <w:r>
        <w:t>Danese</w:t>
      </w:r>
      <w:r>
        <w:rPr>
          <w:lang w:val="el-GR"/>
        </w:rPr>
        <w:t xml:space="preserve"> &amp; </w:t>
      </w:r>
      <w:r>
        <w:t>McEwen</w:t>
      </w:r>
      <w:r w:rsidRPr="000B7AA5">
        <w:rPr>
          <w:lang w:val="el-GR"/>
        </w:rPr>
        <w:t>, 2012·</w:t>
      </w:r>
      <w:r>
        <w:t>McCrory</w:t>
      </w:r>
      <w:r w:rsidRPr="000B7AA5">
        <w:rPr>
          <w:lang w:val="el-GR"/>
        </w:rPr>
        <w:t xml:space="preserve"> </w:t>
      </w:r>
      <w:r>
        <w:t>et</w:t>
      </w:r>
      <w:r w:rsidRPr="000B7AA5">
        <w:rPr>
          <w:lang w:val="el-GR"/>
        </w:rPr>
        <w:t xml:space="preserve"> </w:t>
      </w:r>
      <w:r>
        <w:t>al</w:t>
      </w:r>
      <w:r w:rsidRPr="000B7AA5">
        <w:rPr>
          <w:lang w:val="el-GR"/>
        </w:rPr>
        <w:t>., 2017). Ο</w:t>
      </w:r>
      <w:r>
        <w:rPr>
          <w:lang w:val="el-GR"/>
        </w:rPr>
        <w:t xml:space="preserve">ι διαφοροποιήσεις αυτές νοούνται ως προσαρμογές σε ένα απειλητικό περιβάλλον και όχι ως μη αναστρέψιμες βλάβες ή άμεσες αιτίες βίας. Αντίστοιχα, οι γενετικοί και οι </w:t>
      </w:r>
      <w:proofErr w:type="spellStart"/>
      <w:r>
        <w:rPr>
          <w:lang w:val="el-GR"/>
        </w:rPr>
        <w:t>επιγενετικοί</w:t>
      </w:r>
      <w:proofErr w:type="spellEnd"/>
      <w:r>
        <w:rPr>
          <w:lang w:val="el-GR"/>
        </w:rPr>
        <w:t xml:space="preserve"> παράγοντες μπορεί να συμβάλλουν σε ατομικές διαφορές στην αντιδραστικότητα στο στρες, δεν τεκμηριώνουν όμως «γονίδιο βίας» ούτε </w:t>
      </w:r>
      <w:proofErr w:type="spellStart"/>
      <w:r>
        <w:rPr>
          <w:lang w:val="el-GR"/>
        </w:rPr>
        <w:t>κληρονόμηση</w:t>
      </w:r>
      <w:proofErr w:type="spellEnd"/>
      <w:r>
        <w:rPr>
          <w:lang w:val="el-GR"/>
        </w:rPr>
        <w:t xml:space="preserve"> του τραύματος (</w:t>
      </w:r>
      <w:r>
        <w:t>Rutter</w:t>
      </w:r>
      <w:r>
        <w:rPr>
          <w:lang w:val="el-GR"/>
        </w:rPr>
        <w:t xml:space="preserve"> </w:t>
      </w:r>
      <w:r>
        <w:t>et</w:t>
      </w:r>
      <w:r>
        <w:rPr>
          <w:lang w:val="el-GR"/>
        </w:rPr>
        <w:t xml:space="preserve"> </w:t>
      </w:r>
      <w:r>
        <w:t>al</w:t>
      </w:r>
      <w:r>
        <w:rPr>
          <w:lang w:val="el-GR"/>
        </w:rPr>
        <w:t>., 2006·</w:t>
      </w:r>
      <w:r>
        <w:t>Radtke</w:t>
      </w:r>
      <w:r>
        <w:rPr>
          <w:lang w:val="el-GR"/>
        </w:rPr>
        <w:t xml:space="preserve"> </w:t>
      </w:r>
      <w:r>
        <w:t>et</w:t>
      </w:r>
      <w:r>
        <w:rPr>
          <w:lang w:val="el-GR"/>
        </w:rPr>
        <w:t xml:space="preserve"> </w:t>
      </w:r>
      <w:r>
        <w:t>al</w:t>
      </w:r>
      <w:r>
        <w:rPr>
          <w:lang w:val="el-GR"/>
        </w:rPr>
        <w:t>., 2011·</w:t>
      </w:r>
      <w:r>
        <w:t>Yehuda</w:t>
      </w:r>
      <w:r>
        <w:rPr>
          <w:lang w:val="el-GR"/>
        </w:rPr>
        <w:t xml:space="preserve"> &amp; </w:t>
      </w:r>
      <w:r>
        <w:t>Lehrner</w:t>
      </w:r>
      <w:r>
        <w:rPr>
          <w:lang w:val="el-GR"/>
        </w:rPr>
        <w:t xml:space="preserve">, 2018), και είναι πιο χρήσιμο να ερμηνεύονται μέσα σε </w:t>
      </w:r>
      <w:proofErr w:type="spellStart"/>
      <w:r>
        <w:rPr>
          <w:lang w:val="el-GR"/>
        </w:rPr>
        <w:t>πολυεπίπεδα</w:t>
      </w:r>
      <w:proofErr w:type="spellEnd"/>
      <w:r>
        <w:rPr>
          <w:lang w:val="el-GR"/>
        </w:rPr>
        <w:t xml:space="preserve"> μοντέλα αλληλεπίδρασης βιολογίας και περιβάλλοντος, όπου η βιολογική ευαισθησία μετριάζεται από την ποιότητα της φροντίδας και των σχέσεων.</w:t>
      </w:r>
    </w:p>
    <w:p w14:paraId="62169DC5" w14:textId="097E2E3E" w:rsidR="00E63D5B" w:rsidRPr="00132066" w:rsidRDefault="001F059D">
      <w:pPr>
        <w:rPr>
          <w:lang w:val="el-GR"/>
        </w:rPr>
      </w:pPr>
      <w:r>
        <w:rPr>
          <w:lang w:val="el-GR"/>
        </w:rPr>
        <w:t xml:space="preserve">Το </w:t>
      </w:r>
      <w:proofErr w:type="spellStart"/>
      <w:r>
        <w:rPr>
          <w:lang w:val="el-GR"/>
        </w:rPr>
        <w:t>κοινωνικο</w:t>
      </w:r>
      <w:proofErr w:type="spellEnd"/>
      <w:r>
        <w:rPr>
          <w:lang w:val="el-GR"/>
        </w:rPr>
        <w:t>-οικολογικό μοντέλο (</w:t>
      </w:r>
      <w:r>
        <w:t>Heise</w:t>
      </w:r>
      <w:r>
        <w:rPr>
          <w:lang w:val="el-GR"/>
        </w:rPr>
        <w:t>, 1998·</w:t>
      </w:r>
      <w:r>
        <w:t>WHO</w:t>
      </w:r>
      <w:r>
        <w:rPr>
          <w:lang w:val="el-GR"/>
        </w:rPr>
        <w:t xml:space="preserve">, 2002) συνθέτει τις παραπάνω προσεγγίσεις: η βία θεωρείται αποτέλεσμα της αλληλεπίδρασης παραγόντων σε τέσσερα επίπεδα, το ατομικό, το διαπροσωπικό, το κοινοτικό και το κοινωνικό. Κεντρική παραδοχή του μοντέλου είναι ότι οι παράγοντες κινδύνου και προστασίας δεν λειτουργούν ανεξάρτητα αλλά </w:t>
      </w:r>
      <w:proofErr w:type="spellStart"/>
      <w:r>
        <w:rPr>
          <w:lang w:val="el-GR"/>
        </w:rPr>
        <w:t>αλληλεπιδρούν</w:t>
      </w:r>
      <w:proofErr w:type="spellEnd"/>
      <w:r>
        <w:rPr>
          <w:lang w:val="el-GR"/>
        </w:rPr>
        <w:t xml:space="preserve"> δυναμικά μεταξύ τους. Υπό αυτή την οπτική, η </w:t>
      </w:r>
      <w:proofErr w:type="spellStart"/>
      <w:r>
        <w:rPr>
          <w:lang w:val="el-GR"/>
        </w:rPr>
        <w:t>διαγενεακή</w:t>
      </w:r>
      <w:proofErr w:type="spellEnd"/>
      <w:r>
        <w:rPr>
          <w:lang w:val="el-GR"/>
        </w:rPr>
        <w:t xml:space="preserve"> συνέχεια δεν αποδίδεται σε έναν μοναδικό μηχανισμό, αλλά στη δυναμική συνάρθρωση παιδικών εμπειριών, σχεσιακών προτύπων, συναισθηματικής ρύθμισης, κοινωνικών δικτύων, υλικών συνθηκών και έμφυλων ή θεσμικών κανόνων (</w:t>
      </w:r>
      <w:r>
        <w:t>Heise</w:t>
      </w:r>
      <w:r>
        <w:rPr>
          <w:lang w:val="el-GR"/>
        </w:rPr>
        <w:t>, 1998·</w:t>
      </w:r>
      <w:r>
        <w:t>Masten</w:t>
      </w:r>
      <w:r>
        <w:rPr>
          <w:lang w:val="el-GR"/>
        </w:rPr>
        <w:t xml:space="preserve"> &amp; </w:t>
      </w:r>
      <w:r>
        <w:t>Cicchetti</w:t>
      </w:r>
      <w:r>
        <w:rPr>
          <w:lang w:val="el-GR"/>
        </w:rPr>
        <w:t xml:space="preserve">, 2010). Η έκθεση στη βία αποτελεί παράγοντα κινδύνου και όχι αναπόφευκτη αιτία μελλοντικής διάπραξης ή </w:t>
      </w:r>
      <w:proofErr w:type="spellStart"/>
      <w:r>
        <w:rPr>
          <w:lang w:val="el-GR"/>
        </w:rPr>
        <w:t>θυματοποίησης</w:t>
      </w:r>
      <w:proofErr w:type="spellEnd"/>
      <w:r>
        <w:rPr>
          <w:lang w:val="el-GR"/>
        </w:rPr>
        <w:t>, ενώ οι αναπτυξιακές εκβάσεις εμφανίζουν σημαντική ετερογένεια (</w:t>
      </w:r>
      <w:r>
        <w:t>Stith</w:t>
      </w:r>
      <w:r>
        <w:rPr>
          <w:lang w:val="el-GR"/>
        </w:rPr>
        <w:t xml:space="preserve"> </w:t>
      </w:r>
      <w:r>
        <w:t>et</w:t>
      </w:r>
      <w:r>
        <w:rPr>
          <w:lang w:val="el-GR"/>
        </w:rPr>
        <w:t xml:space="preserve"> </w:t>
      </w:r>
      <w:r>
        <w:t>al</w:t>
      </w:r>
      <w:r>
        <w:rPr>
          <w:lang w:val="el-GR"/>
        </w:rPr>
        <w:t>., 2000·</w:t>
      </w:r>
      <w:r>
        <w:t>Kitzmann</w:t>
      </w:r>
      <w:r>
        <w:rPr>
          <w:lang w:val="el-GR"/>
        </w:rPr>
        <w:t xml:space="preserve"> </w:t>
      </w:r>
      <w:r>
        <w:t>et</w:t>
      </w:r>
      <w:r>
        <w:rPr>
          <w:lang w:val="el-GR"/>
        </w:rPr>
        <w:t xml:space="preserve"> </w:t>
      </w:r>
      <w:r>
        <w:t>al</w:t>
      </w:r>
      <w:r>
        <w:rPr>
          <w:lang w:val="el-GR"/>
        </w:rPr>
        <w:t>., 2003·</w:t>
      </w:r>
      <w:r>
        <w:t>Vu</w:t>
      </w:r>
      <w:r>
        <w:rPr>
          <w:lang w:val="el-GR"/>
        </w:rPr>
        <w:t xml:space="preserve"> </w:t>
      </w:r>
      <w:r>
        <w:t>et</w:t>
      </w:r>
      <w:r>
        <w:rPr>
          <w:lang w:val="el-GR"/>
        </w:rPr>
        <w:t xml:space="preserve"> </w:t>
      </w:r>
      <w:r>
        <w:t>al</w:t>
      </w:r>
      <w:r>
        <w:rPr>
          <w:lang w:val="el-GR"/>
        </w:rPr>
        <w:t xml:space="preserve">., 2016). Η αυτορρύθμιση, η οικογενειακή, σχολική και </w:t>
      </w:r>
      <w:proofErr w:type="spellStart"/>
      <w:r>
        <w:rPr>
          <w:lang w:val="el-GR"/>
        </w:rPr>
        <w:t>συνομηλική</w:t>
      </w:r>
      <w:proofErr w:type="spellEnd"/>
      <w:r>
        <w:rPr>
          <w:lang w:val="el-GR"/>
        </w:rPr>
        <w:t xml:space="preserve"> υποστήριξη και η πρόσβαση σε ασφαλείς σχέσεις μπορούν να λειτουργήσουν προστατευτικά και να ανακατευθύνουν τις αναπτυξιακές διαδρομές (</w:t>
      </w:r>
      <w:r>
        <w:t>Yule</w:t>
      </w:r>
      <w:r>
        <w:rPr>
          <w:lang w:val="el-GR"/>
        </w:rPr>
        <w:t xml:space="preserve"> </w:t>
      </w:r>
      <w:r>
        <w:t>et</w:t>
      </w:r>
      <w:r>
        <w:rPr>
          <w:lang w:val="el-GR"/>
        </w:rPr>
        <w:t xml:space="preserve"> </w:t>
      </w:r>
      <w:r>
        <w:t>al</w:t>
      </w:r>
      <w:r>
        <w:rPr>
          <w:lang w:val="el-GR"/>
        </w:rPr>
        <w:t xml:space="preserve">., 2019). Για τον λόγο αυτό, η πρόληψη της </w:t>
      </w:r>
      <w:proofErr w:type="spellStart"/>
      <w:r>
        <w:rPr>
          <w:lang w:val="el-GR"/>
        </w:rPr>
        <w:t>διαγενεακής</w:t>
      </w:r>
      <w:proofErr w:type="spellEnd"/>
      <w:r>
        <w:rPr>
          <w:lang w:val="el-GR"/>
        </w:rPr>
        <w:t xml:space="preserve"> συνέχειας της βίας προϋποθέτει παρεμβάσεις σε πολλαπλά επίπεδα, από την ασφάλεια του παιδιού και την υποστήριξη της σχέσης με τον μη κακοποιητικό γονέα έως την οικονομική προστασία, τη θεσμική λογοδοσία και τον μετασχηματισμό των έμφυλων κοινωνικών κανόνων (</w:t>
      </w:r>
      <w:r>
        <w:t>Heise</w:t>
      </w:r>
      <w:r>
        <w:rPr>
          <w:lang w:val="el-GR"/>
        </w:rPr>
        <w:t xml:space="preserve">, 1998, </w:t>
      </w:r>
      <w:r>
        <w:t>WHO</w:t>
      </w:r>
      <w:r>
        <w:rPr>
          <w:lang w:val="el-GR"/>
        </w:rPr>
        <w:t>, 2002).</w:t>
      </w:r>
    </w:p>
    <w:p w14:paraId="18AF6ACE" w14:textId="77777777" w:rsidR="00E63D5B" w:rsidRPr="00132066" w:rsidRDefault="001F059D">
      <w:pPr>
        <w:pStyle w:val="3"/>
        <w:rPr>
          <w:lang w:val="el-GR"/>
        </w:rPr>
      </w:pPr>
      <w:r>
        <w:rPr>
          <w:lang w:val="el-GR"/>
        </w:rPr>
        <w:t>Εμπειρική τεκμηρίωση</w:t>
      </w:r>
    </w:p>
    <w:p w14:paraId="1CA12B51" w14:textId="77777777" w:rsidR="00E63D5B" w:rsidRPr="00132066" w:rsidRDefault="001F059D">
      <w:pPr>
        <w:rPr>
          <w:lang w:val="el-GR"/>
        </w:rPr>
      </w:pPr>
      <w:r>
        <w:rPr>
          <w:lang w:val="el-GR"/>
        </w:rPr>
        <w:t xml:space="preserve">Η υπόθεση ότι η έκθεση στη βία κατά την παιδική ηλικία αυξάνει την πιθανότητα εμπλοκής σε βίαιες σχέσεις κατά την ενήλικη ζωή αποτελεί μία από τις πλέον μελετημένες παραδοχές στη βιβλιογραφία της ενδοοικογενειακής και της συντροφικής βίας. Η πρώιμη έρευνα περιέγραφε συχνά τη διαδικασία αυτή ως έναν σχεδόν αναπόφευκτο «κύκλο της βίας». Τα σύγχρονα δεδομένα, ωστόσο, υποδεικνύουν ότι πρόκειται για </w:t>
      </w:r>
      <w:proofErr w:type="spellStart"/>
      <w:r>
        <w:rPr>
          <w:lang w:val="el-GR"/>
        </w:rPr>
        <w:t>διαγενεακή</w:t>
      </w:r>
      <w:proofErr w:type="spellEnd"/>
      <w:r>
        <w:rPr>
          <w:lang w:val="el-GR"/>
        </w:rPr>
        <w:t xml:space="preserve"> συνέχεια αυξημένου κινδύνου και όχι για γραμμική ή αιτιοκρατική διαδικασία. Η παιδική έκθεση στη βία μπορεί να αυξάνει την πιθανότητα μεταγενέστερης διάπραξης ή </w:t>
      </w:r>
      <w:proofErr w:type="spellStart"/>
      <w:r>
        <w:rPr>
          <w:lang w:val="el-GR"/>
        </w:rPr>
        <w:t>θυματοποίησης</w:t>
      </w:r>
      <w:proofErr w:type="spellEnd"/>
      <w:r>
        <w:rPr>
          <w:lang w:val="el-GR"/>
        </w:rPr>
        <w:t>, χωρίς να αποτελεί ούτε αναγκαία ούτε επαρκή συνθήκη για την εμφάνισή τους. Η σύγχρονη έρευνα έχει μετακινηθεί από τα απλά μοντέλα άμεσης αναπαραγωγής της παρατηρούμενης βίας προς περισσότερο σύνθετες αναπτυξιακές προσεγγίσεις (</w:t>
      </w:r>
      <w:proofErr w:type="spellStart"/>
      <w:r>
        <w:t>Ehrensaft</w:t>
      </w:r>
      <w:proofErr w:type="spellEnd"/>
      <w:r>
        <w:rPr>
          <w:lang w:val="el-GR"/>
        </w:rPr>
        <w:t xml:space="preserve"> &amp; </w:t>
      </w:r>
      <w:proofErr w:type="spellStart"/>
      <w:r>
        <w:t>Langhinrichsen</w:t>
      </w:r>
      <w:proofErr w:type="spellEnd"/>
      <w:r>
        <w:rPr>
          <w:lang w:val="el-GR"/>
        </w:rPr>
        <w:t>-</w:t>
      </w:r>
      <w:r>
        <w:t>Rohling</w:t>
      </w:r>
      <w:r>
        <w:rPr>
          <w:lang w:val="el-GR"/>
        </w:rPr>
        <w:t xml:space="preserve">, 2022). Οι προσεγγίσεις αυτές εξετάζουν πώς η παιδική έκθεση </w:t>
      </w:r>
      <w:proofErr w:type="spellStart"/>
      <w:r>
        <w:rPr>
          <w:lang w:val="el-GR"/>
        </w:rPr>
        <w:t>αλληλεπιδρά</w:t>
      </w:r>
      <w:proofErr w:type="spellEnd"/>
      <w:r>
        <w:rPr>
          <w:lang w:val="el-GR"/>
        </w:rPr>
        <w:t xml:space="preserve"> με τη συναισθηματική ρύθμιση, την ψυχοπαθολογία, τις σχέσεις με συνομήλικα άτομα, την επιλογή συντρόφου και το ευρύτερο κοινωνικό περιβάλλον, διαμορφώνοντας διαφορετικές διαδρομές κινδύνου ή προστασίας.</w:t>
      </w:r>
    </w:p>
    <w:p w14:paraId="6E078B07" w14:textId="77777777" w:rsidR="00E63D5B" w:rsidRPr="00132066" w:rsidRDefault="001F059D">
      <w:pPr>
        <w:rPr>
          <w:lang w:val="el-GR"/>
        </w:rPr>
      </w:pPr>
      <w:r>
        <w:rPr>
          <w:lang w:val="el-GR"/>
        </w:rPr>
        <w:t xml:space="preserve">Οι ισχυρότερες ενδείξεις προέρχονται από </w:t>
      </w:r>
      <w:proofErr w:type="spellStart"/>
      <w:r>
        <w:rPr>
          <w:lang w:val="el-GR"/>
        </w:rPr>
        <w:t>μετα</w:t>
      </w:r>
      <w:proofErr w:type="spellEnd"/>
      <w:r>
        <w:rPr>
          <w:lang w:val="el-GR"/>
        </w:rPr>
        <w:t xml:space="preserve">-αναλύσεις. Στη </w:t>
      </w:r>
      <w:proofErr w:type="spellStart"/>
      <w:r>
        <w:rPr>
          <w:lang w:val="el-GR"/>
        </w:rPr>
        <w:t>μετα</w:t>
      </w:r>
      <w:proofErr w:type="spellEnd"/>
      <w:r>
        <w:rPr>
          <w:lang w:val="el-GR"/>
        </w:rPr>
        <w:t xml:space="preserve">-ανάλυση 39 μελετών των </w:t>
      </w:r>
      <w:r>
        <w:t>Stith</w:t>
      </w:r>
      <w:r>
        <w:rPr>
          <w:lang w:val="el-GR"/>
        </w:rPr>
        <w:t xml:space="preserve"> και συν. (2000) η έκθεση σε βία στην οικογένεια προέλευσης συσχετίστηκε με αυξημένη πιθανότητα εμπλοκής σε βίαιη συντροφική σχέση στην ενήλικη ζωή, με ασθενή έως μέτρια συνολική σχέση και διαφοροποίηση ως προς το φύλο: η ανατροφή σε βίαιο περιβάλλον συνδεόταν ισχυρότερα με τη </w:t>
      </w:r>
      <w:r>
        <w:rPr>
          <w:lang w:val="el-GR"/>
        </w:rPr>
        <w:lastRenderedPageBreak/>
        <w:t xml:space="preserve">διάπραξη στους άνδρες και με τη </w:t>
      </w:r>
      <w:proofErr w:type="spellStart"/>
      <w:r>
        <w:rPr>
          <w:lang w:val="el-GR"/>
        </w:rPr>
        <w:t>θυματοποίηση</w:t>
      </w:r>
      <w:proofErr w:type="spellEnd"/>
      <w:r>
        <w:rPr>
          <w:lang w:val="el-GR"/>
        </w:rPr>
        <w:t xml:space="preserve"> στις γυναίκες. Η </w:t>
      </w:r>
      <w:proofErr w:type="spellStart"/>
      <w:r>
        <w:rPr>
          <w:lang w:val="el-GR"/>
        </w:rPr>
        <w:t>μετα</w:t>
      </w:r>
      <w:proofErr w:type="spellEnd"/>
      <w:r>
        <w:rPr>
          <w:lang w:val="el-GR"/>
        </w:rPr>
        <w:t xml:space="preserve">-ανάλυση 124 μελετών των </w:t>
      </w:r>
      <w:r>
        <w:t>Smith</w:t>
      </w:r>
      <w:r>
        <w:rPr>
          <w:lang w:val="el-GR"/>
        </w:rPr>
        <w:t>-</w:t>
      </w:r>
      <w:r>
        <w:t>Marek</w:t>
      </w:r>
      <w:r>
        <w:rPr>
          <w:lang w:val="el-GR"/>
        </w:rPr>
        <w:t xml:space="preserve"> και συν. (2015) επιβεβαίωσε ότι τόσο η έκθεση σε βία μεταξύ των γονέων όσο και η άμεση σωματική κακοποίηση σχετίζονται με μεταγενέστερη διάπραξη ή </w:t>
      </w:r>
      <w:proofErr w:type="spellStart"/>
      <w:r>
        <w:rPr>
          <w:lang w:val="el-GR"/>
        </w:rPr>
        <w:t>θυματοποίηση</w:t>
      </w:r>
      <w:proofErr w:type="spellEnd"/>
      <w:r>
        <w:rPr>
          <w:lang w:val="el-GR"/>
        </w:rPr>
        <w:t xml:space="preserve">, με μικρά μεγέθη επίδρασης και ισχυρότερη σχέση για τη διάπραξη, ενώ η ανασκόπηση των </w:t>
      </w:r>
      <w:r>
        <w:t>Capaldi</w:t>
      </w:r>
      <w:r>
        <w:rPr>
          <w:lang w:val="el-GR"/>
        </w:rPr>
        <w:t xml:space="preserve"> και συν. (2012) κατέληξε σε μικρές έως μέτριες σχέσεις, τονίζοντας τον ρόλο κοινών οικογενειακών και αναπτυξιακών παραγόντων, όπως οι πρακτικές ανατροφής, η οικογενειακή αστάθεια και οι κοινωνικοοικονομικές συνθήκες.</w:t>
      </w:r>
    </w:p>
    <w:p w14:paraId="326D8C1F" w14:textId="77777777" w:rsidR="00E63D5B" w:rsidRPr="00132066" w:rsidRDefault="001F059D">
      <w:pPr>
        <w:rPr>
          <w:lang w:val="el-GR"/>
        </w:rPr>
      </w:pPr>
      <w:r>
        <w:rPr>
          <w:lang w:val="el-GR"/>
        </w:rPr>
        <w:t xml:space="preserve">Τα ευρήματα ενισχύονται από διαχρονικές έρευνες. Στην 20ετή προοπτική μελέτη των </w:t>
      </w:r>
      <w:proofErr w:type="spellStart"/>
      <w:r>
        <w:t>Ehrensaft</w:t>
      </w:r>
      <w:proofErr w:type="spellEnd"/>
      <w:r>
        <w:rPr>
          <w:lang w:val="el-GR"/>
        </w:rPr>
        <w:t xml:space="preserve"> και συν. (2003) η πρώιμη έκθεση σε ενδοοικογενειακή βία συνδεόταν με περίπου τριπλάσια πιθανότητα μεταγενέστερης διάπραξης ή </w:t>
      </w:r>
      <w:proofErr w:type="spellStart"/>
      <w:r>
        <w:rPr>
          <w:lang w:val="el-GR"/>
        </w:rPr>
        <w:t>θυματοποίησης</w:t>
      </w:r>
      <w:proofErr w:type="spellEnd"/>
      <w:r>
        <w:rPr>
          <w:lang w:val="el-GR"/>
        </w:rPr>
        <w:t xml:space="preserve">, ενώ οι </w:t>
      </w:r>
      <w:proofErr w:type="spellStart"/>
      <w:r>
        <w:t>Herrenkohl</w:t>
      </w:r>
      <w:proofErr w:type="spellEnd"/>
      <w:r>
        <w:rPr>
          <w:lang w:val="el-GR"/>
        </w:rPr>
        <w:t xml:space="preserve"> και συν. (2004) διαπίστωσαν ότι η σχέση παρέμενε ακόμη και μετά τη συνεκτίμηση άλλων μορφών κακοποίησης και κοινωνικών παραγόντων κινδύνου. Η μελέτη των </w:t>
      </w:r>
      <w:r>
        <w:t>Narayan</w:t>
      </w:r>
      <w:r>
        <w:rPr>
          <w:lang w:val="el-GR"/>
        </w:rPr>
        <w:t xml:space="preserve"> και συν. (2013) ανέδειξε τη σημασία του χρονισμού: η έκθεση στην πρώιμη παιδική ηλικία προέβλεπε ισχυρότερα την εμπλοκή σε συντροφική βία στα 23 έτη από ό,τι η έκθεση στη μέση παιδική ηλικία. Η 27ετής μελέτη των </w:t>
      </w:r>
      <w:r>
        <w:t>Knight</w:t>
      </w:r>
      <w:r>
        <w:rPr>
          <w:lang w:val="el-GR"/>
        </w:rPr>
        <w:t xml:space="preserve"> και συν. (2016) σε 1.401 άτομα και τα ενήλικα παιδιά τους κατέγραψε μέτρια </w:t>
      </w:r>
      <w:proofErr w:type="spellStart"/>
      <w:r>
        <w:rPr>
          <w:lang w:val="el-GR"/>
        </w:rPr>
        <w:t>διαγενεακή</w:t>
      </w:r>
      <w:proofErr w:type="spellEnd"/>
      <w:r>
        <w:rPr>
          <w:lang w:val="el-GR"/>
        </w:rPr>
        <w:t xml:space="preserve"> συνέχεια, ισχυρότερη στις γυναίκες της δεύτερης γενιάς, με σημαντική όμως επικάλυψη διάπραξης και </w:t>
      </w:r>
      <w:proofErr w:type="spellStart"/>
      <w:r>
        <w:rPr>
          <w:lang w:val="el-GR"/>
        </w:rPr>
        <w:t>θυματοποίησης</w:t>
      </w:r>
      <w:proofErr w:type="spellEnd"/>
      <w:r>
        <w:rPr>
          <w:lang w:val="el-GR"/>
        </w:rPr>
        <w:t>, που δείχνει ότι η συνέχεια δεν ακολουθεί πάντοτε το απλό πρότυπο «άνδρας που διαπράττει, γυναίκα που υφίσταται».</w:t>
      </w:r>
    </w:p>
    <w:p w14:paraId="2FA54F6A" w14:textId="77777777" w:rsidR="00E63D5B" w:rsidRPr="00132066" w:rsidRDefault="001F059D">
      <w:pPr>
        <w:rPr>
          <w:lang w:val="el-GR"/>
        </w:rPr>
      </w:pPr>
      <w:r>
        <w:rPr>
          <w:lang w:val="el-GR"/>
        </w:rPr>
        <w:t xml:space="preserve">Συνολικά, τα δεδομένα υποστηρίζουν μια συνεπή αλλά περιορισμένη σε μέγεθος σχέση μεταξύ παιδικής έκθεσης και μεταγενέστερης εμπλοκής σε συντροφική βία. Η ισχύς της σχέσης δεν δικαιολογεί μια αιτιοκρατική αντίληψη περί αναπόφευκτης «μετάδοσης». Αντίθετα, αναδεικνύει την πρώιμη έκθεση ως έναν από τους πολλαπλούς παράγοντες που, σε αλληλεπίδραση με ατομικές, σχεσιακές και </w:t>
      </w:r>
      <w:proofErr w:type="spellStart"/>
      <w:r>
        <w:rPr>
          <w:lang w:val="el-GR"/>
        </w:rPr>
        <w:t>κοινωνικοδομικές</w:t>
      </w:r>
      <w:proofErr w:type="spellEnd"/>
      <w:r>
        <w:rPr>
          <w:lang w:val="el-GR"/>
        </w:rPr>
        <w:t xml:space="preserve"> συνθήκες, μπορούν να αυξήσουν την πιθανότητα διάπραξης ή </w:t>
      </w:r>
      <w:proofErr w:type="spellStart"/>
      <w:r>
        <w:rPr>
          <w:lang w:val="el-GR"/>
        </w:rPr>
        <w:t>θυματοποίησης</w:t>
      </w:r>
      <w:proofErr w:type="spellEnd"/>
      <w:r>
        <w:rPr>
          <w:lang w:val="el-GR"/>
        </w:rPr>
        <w:t>.</w:t>
      </w:r>
    </w:p>
    <w:p w14:paraId="73E45A4A" w14:textId="77777777" w:rsidR="00E63D5B" w:rsidRPr="00132066" w:rsidRDefault="001F059D">
      <w:pPr>
        <w:rPr>
          <w:lang w:val="el-GR"/>
        </w:rPr>
      </w:pPr>
      <w:r>
        <w:rPr>
          <w:lang w:val="el-GR"/>
        </w:rPr>
        <w:t xml:space="preserve">Παράλληλες ερευνητικές κατευθύνσεις εξετάζουν τη </w:t>
      </w:r>
      <w:proofErr w:type="spellStart"/>
      <w:r>
        <w:rPr>
          <w:lang w:val="el-GR"/>
        </w:rPr>
        <w:t>διαγενεακή</w:t>
      </w:r>
      <w:proofErr w:type="spellEnd"/>
      <w:r>
        <w:rPr>
          <w:lang w:val="el-GR"/>
        </w:rPr>
        <w:t xml:space="preserve"> συνέχεια της ίδιας της παιδικής κακοποίησης και της συναισθηματικής βίας. Οι </w:t>
      </w:r>
      <w:proofErr w:type="spellStart"/>
      <w:r>
        <w:rPr>
          <w:lang w:val="el-GR"/>
        </w:rPr>
        <w:t>μετα</w:t>
      </w:r>
      <w:proofErr w:type="spellEnd"/>
      <w:r>
        <w:rPr>
          <w:lang w:val="el-GR"/>
        </w:rPr>
        <w:t xml:space="preserve">-αναλύσεις των </w:t>
      </w:r>
      <w:r>
        <w:t>Assink</w:t>
      </w:r>
      <w:r>
        <w:rPr>
          <w:lang w:val="el-GR"/>
        </w:rPr>
        <w:t xml:space="preserve"> και συν. (2018) και των </w:t>
      </w:r>
      <w:r>
        <w:t>Madigan</w:t>
      </w:r>
      <w:r>
        <w:rPr>
          <w:lang w:val="el-GR"/>
        </w:rPr>
        <w:t xml:space="preserve"> και συν. (2019, 142 μελέτες, περισσότερα από 227.000 άτομα) έδειξαν ότι το ιστορικό παιδικής κακοποίησης των γονέων συνδέεται με μέτρια αυξημένη πιθανότητα κακοποίησης των δικών τους παιδιών (</w:t>
      </w:r>
      <w:r>
        <w:t>d</w:t>
      </w:r>
      <w:r>
        <w:rPr>
          <w:lang w:val="el-GR"/>
        </w:rPr>
        <w:t xml:space="preserve"> = 0,45), τόσο με την ίδια όσο και με διαφορετική μορφή, με την ισχυρότερη συσχέτιση να αφορά τη συναισθηματική κακοποίηση, και ότι η πλειονότητα των ατόμων με ιστορικό κακοποίησης δεν την αναπαράγει. Για την ψυχολογική βία, η </w:t>
      </w:r>
      <w:proofErr w:type="spellStart"/>
      <w:r>
        <w:rPr>
          <w:lang w:val="el-GR"/>
        </w:rPr>
        <w:t>μετα</w:t>
      </w:r>
      <w:proofErr w:type="spellEnd"/>
      <w:r>
        <w:rPr>
          <w:lang w:val="el-GR"/>
        </w:rPr>
        <w:t xml:space="preserve">-ανάλυση των </w:t>
      </w:r>
      <w:r>
        <w:t>Osborne</w:t>
      </w:r>
      <w:r>
        <w:rPr>
          <w:lang w:val="el-GR"/>
        </w:rPr>
        <w:t xml:space="preserve"> και συν. (2025) και η μελέτη των </w:t>
      </w:r>
      <w:r>
        <w:t>Gelinas</w:t>
      </w:r>
      <w:r>
        <w:rPr>
          <w:lang w:val="el-GR"/>
        </w:rPr>
        <w:t xml:space="preserve"> και συν. (2025) έδειξαν ότι η έκθεση σε συναισθηματική βία στην παιδική ηλικία συνδέεται με διάπραξη συναισθηματικής βίας στις ενήλικες σχέσεις και με έκθεση της επόμενης γενιάς σε οικογενειακή βία, εύρημα με ιδιαίτερη σημασία επειδή η μορφή αυτή συχνά προηγείται ή συνυπάρχει με άλλες και παραμένει λιγότερο ορατή.</w:t>
      </w:r>
    </w:p>
    <w:p w14:paraId="1A68BF59" w14:textId="77777777" w:rsidR="00E63D5B" w:rsidRPr="00132066" w:rsidRDefault="001F059D">
      <w:pPr>
        <w:rPr>
          <w:lang w:val="el-GR"/>
        </w:rPr>
      </w:pPr>
      <w:r>
        <w:rPr>
          <w:lang w:val="el-GR"/>
        </w:rPr>
        <w:t xml:space="preserve">Η σύγχρονη έρευνα έχει μετακινηθεί από τη μελέτη μεμονωμένων μορφών βίας προς τη σωρευτική έκθεση. Η έννοια της </w:t>
      </w:r>
      <w:proofErr w:type="spellStart"/>
      <w:r>
        <w:rPr>
          <w:lang w:val="el-GR"/>
        </w:rPr>
        <w:t>πολυθυματοποίησης</w:t>
      </w:r>
      <w:proofErr w:type="spellEnd"/>
      <w:r>
        <w:rPr>
          <w:lang w:val="el-GR"/>
        </w:rPr>
        <w:t xml:space="preserve"> (</w:t>
      </w:r>
      <w:proofErr w:type="spellStart"/>
      <w:r>
        <w:t>Finkelhor</w:t>
      </w:r>
      <w:proofErr w:type="spellEnd"/>
      <w:r>
        <w:rPr>
          <w:lang w:val="el-GR"/>
        </w:rPr>
        <w:t xml:space="preserve"> </w:t>
      </w:r>
      <w:r>
        <w:t>et</w:t>
      </w:r>
      <w:r>
        <w:rPr>
          <w:lang w:val="el-GR"/>
        </w:rPr>
        <w:t xml:space="preserve"> </w:t>
      </w:r>
      <w:r>
        <w:t>al</w:t>
      </w:r>
      <w:r>
        <w:rPr>
          <w:lang w:val="el-GR"/>
        </w:rPr>
        <w:t xml:space="preserve">., 2007) περιγράφει την έκθεση του παιδιού σε πολλαπλές μορφές </w:t>
      </w:r>
      <w:proofErr w:type="spellStart"/>
      <w:r>
        <w:rPr>
          <w:lang w:val="el-GR"/>
        </w:rPr>
        <w:t>θυματοποίησης</w:t>
      </w:r>
      <w:proofErr w:type="spellEnd"/>
      <w:r>
        <w:rPr>
          <w:lang w:val="el-GR"/>
        </w:rPr>
        <w:t>, η οποία συνδέεται με σοβαρότερες επιπτώσεις από την έκθεση σε μία μόνο μορφή. Τα άτομα που εκτέθηκαν σε συντροφική βία στην παιδική ηλικία και σε πολλαπλές μορφές βίας εμφανίζουν ακόμη μεγαλύτερη πιθανότητα εμπλοκής (</w:t>
      </w:r>
      <w:r>
        <w:t>Roberts</w:t>
      </w:r>
      <w:r>
        <w:rPr>
          <w:lang w:val="el-GR"/>
        </w:rPr>
        <w:t xml:space="preserve"> </w:t>
      </w:r>
      <w:r>
        <w:t>et</w:t>
      </w:r>
      <w:r>
        <w:rPr>
          <w:lang w:val="el-GR"/>
        </w:rPr>
        <w:t xml:space="preserve"> </w:t>
      </w:r>
      <w:r>
        <w:t>al</w:t>
      </w:r>
      <w:r>
        <w:rPr>
          <w:lang w:val="el-GR"/>
        </w:rPr>
        <w:t xml:space="preserve">., 2010), και η σχέση εξηγείται εν μέρει από δυσκολίες όπως η διάχυση ταυτότητας και η συναισθηματική </w:t>
      </w:r>
      <w:proofErr w:type="spellStart"/>
      <w:r>
        <w:rPr>
          <w:lang w:val="el-GR"/>
        </w:rPr>
        <w:t>δυσρύθμιση</w:t>
      </w:r>
      <w:proofErr w:type="spellEnd"/>
      <w:r>
        <w:rPr>
          <w:lang w:val="el-GR"/>
        </w:rPr>
        <w:t xml:space="preserve"> (</w:t>
      </w:r>
      <w:r>
        <w:t>Gelinas</w:t>
      </w:r>
      <w:r>
        <w:rPr>
          <w:lang w:val="el-GR"/>
        </w:rPr>
        <w:t xml:space="preserve"> </w:t>
      </w:r>
      <w:r>
        <w:t>et</w:t>
      </w:r>
      <w:r>
        <w:rPr>
          <w:lang w:val="el-GR"/>
        </w:rPr>
        <w:t xml:space="preserve"> </w:t>
      </w:r>
      <w:r>
        <w:t>al</w:t>
      </w:r>
      <w:r>
        <w:rPr>
          <w:lang w:val="el-GR"/>
        </w:rPr>
        <w:t>., 2025).</w:t>
      </w:r>
    </w:p>
    <w:p w14:paraId="3F81738D" w14:textId="77777777" w:rsidR="00E63D5B" w:rsidRPr="00132066" w:rsidRDefault="001F059D">
      <w:pPr>
        <w:rPr>
          <w:lang w:val="el-GR"/>
        </w:rPr>
      </w:pPr>
      <w:r>
        <w:rPr>
          <w:lang w:val="el-GR"/>
        </w:rPr>
        <w:t xml:space="preserve">Συνολικά, η διαθέσιμη βιβλιογραφία παρέχει συνεπείς ενδείξεις ότι η έκθεση στη βία κατά την παιδική ηλικία συνδέεται με αυξημένη πιθανότητα εμπλοκής σε βίαιες σχέσεις κατά την ενήλικη ζωή. </w:t>
      </w:r>
      <w:r>
        <w:rPr>
          <w:lang w:val="el-GR"/>
        </w:rPr>
        <w:lastRenderedPageBreak/>
        <w:t xml:space="preserve">Η σχέση αυτή έχει τεκμηριωθεί τόσο σε </w:t>
      </w:r>
      <w:proofErr w:type="spellStart"/>
      <w:r>
        <w:rPr>
          <w:lang w:val="el-GR"/>
        </w:rPr>
        <w:t>μετα</w:t>
      </w:r>
      <w:proofErr w:type="spellEnd"/>
      <w:r>
        <w:rPr>
          <w:lang w:val="el-GR"/>
        </w:rPr>
        <w:t xml:space="preserve">-αναλυτικές συνθέσεις όσο και σε προοπτικές και διαχρονικές μελέτες και φαίνεται να αφορά τη σωματική, τη συναισθηματική και την ψυχολογική βία. Παράλληλα, η μετάδοση δεν είναι αναπόφευκτη και η επίδραση της πρώιμης έκθεσης διαμορφώνεται από ένα ευρύτερο πλέγμα ατομικών, σχεσιακών, οικογενειακών και </w:t>
      </w:r>
      <w:proofErr w:type="spellStart"/>
      <w:r>
        <w:rPr>
          <w:lang w:val="el-GR"/>
        </w:rPr>
        <w:t>κοινωνικοδομικών</w:t>
      </w:r>
      <w:proofErr w:type="spellEnd"/>
      <w:r>
        <w:rPr>
          <w:lang w:val="el-GR"/>
        </w:rPr>
        <w:t xml:space="preserve"> παραγόντων. Επιπλέον, η </w:t>
      </w:r>
      <w:proofErr w:type="spellStart"/>
      <w:r>
        <w:rPr>
          <w:lang w:val="el-GR"/>
        </w:rPr>
        <w:t>διαγενεακή</w:t>
      </w:r>
      <w:proofErr w:type="spellEnd"/>
      <w:r>
        <w:rPr>
          <w:lang w:val="el-GR"/>
        </w:rPr>
        <w:t xml:space="preserve"> επίδραση της βίας δεν περιορίζεται στην επανάληψη κακοποιητικών συμπεριφορών, αλλά μπορεί να αφορά τη μετάδοση των ψυχολογικών και σχεσιακών συνεπειών του τραύματος.</w:t>
      </w:r>
    </w:p>
    <w:p w14:paraId="643AC73B" w14:textId="77777777" w:rsidR="00E63D5B" w:rsidRPr="00132066" w:rsidRDefault="001F059D">
      <w:pPr>
        <w:pStyle w:val="20"/>
        <w:rPr>
          <w:lang w:val="el-GR"/>
        </w:rPr>
      </w:pPr>
      <w:bookmarkStart w:id="15" w:name="_Toc242134420"/>
      <w:r>
        <w:rPr>
          <w:lang w:val="el-GR"/>
        </w:rPr>
        <w:t xml:space="preserve">2.8 </w:t>
      </w:r>
      <w:proofErr w:type="spellStart"/>
      <w:r>
        <w:rPr>
          <w:lang w:val="el-GR"/>
        </w:rPr>
        <w:t>Διαγενεακή</w:t>
      </w:r>
      <w:proofErr w:type="spellEnd"/>
      <w:r>
        <w:rPr>
          <w:lang w:val="el-GR"/>
        </w:rPr>
        <w:t xml:space="preserve"> μετάδοση του τραύματος</w:t>
      </w:r>
      <w:bookmarkEnd w:id="15"/>
    </w:p>
    <w:p w14:paraId="3DFA0890" w14:textId="77777777" w:rsidR="00E63D5B" w:rsidRPr="00132066" w:rsidRDefault="001F059D">
      <w:pPr>
        <w:rPr>
          <w:lang w:val="el-GR"/>
        </w:rPr>
      </w:pPr>
      <w:r>
        <w:rPr>
          <w:lang w:val="el-GR"/>
        </w:rPr>
        <w:t xml:space="preserve">Η </w:t>
      </w:r>
      <w:proofErr w:type="spellStart"/>
      <w:r>
        <w:rPr>
          <w:lang w:val="el-GR"/>
        </w:rPr>
        <w:t>διαγενεακή</w:t>
      </w:r>
      <w:proofErr w:type="spellEnd"/>
      <w:r>
        <w:rPr>
          <w:lang w:val="el-GR"/>
        </w:rPr>
        <w:t xml:space="preserve"> μετάδοση του τραύματος συνδέεται με τη </w:t>
      </w:r>
      <w:proofErr w:type="spellStart"/>
      <w:r>
        <w:rPr>
          <w:lang w:val="el-GR"/>
        </w:rPr>
        <w:t>διαγενεακή</w:t>
      </w:r>
      <w:proofErr w:type="spellEnd"/>
      <w:r>
        <w:rPr>
          <w:lang w:val="el-GR"/>
        </w:rPr>
        <w:t xml:space="preserve"> συνέχεια της βίας, χωρίς να ταυτίζεται με αυτήν. Η δεύτερη αφορά την αυξημένη πιθανότητα επανεμφάνισης της διάπραξης, της </w:t>
      </w:r>
      <w:proofErr w:type="spellStart"/>
      <w:r>
        <w:rPr>
          <w:lang w:val="el-GR"/>
        </w:rPr>
        <w:t>θυματοποίησης</w:t>
      </w:r>
      <w:proofErr w:type="spellEnd"/>
      <w:r>
        <w:rPr>
          <w:lang w:val="el-GR"/>
        </w:rPr>
        <w:t xml:space="preserve"> ή σχέσεων εξαναγκαστικού ελέγχου στην επόμενη γενιά. Αντίθετα, η </w:t>
      </w:r>
      <w:proofErr w:type="spellStart"/>
      <w:r>
        <w:rPr>
          <w:lang w:val="el-GR"/>
        </w:rPr>
        <w:t>διαγενεακή</w:t>
      </w:r>
      <w:proofErr w:type="spellEnd"/>
      <w:r>
        <w:rPr>
          <w:lang w:val="el-GR"/>
        </w:rPr>
        <w:t xml:space="preserve"> μετάδοση του τραύματος αναφέρεται στη συνέχεια των ψυχολογικών, συναισθηματικών, σχεσιακών και ενδεχομένως βιολογικών συνεπειών του γονεϊκού τραύματος, ακόμη και όταν τα παιδιά δεν υφίστανται άμεση κακοποίηση ούτε αναπαράγουν αργότερα βίαιες συμπεριφορές. Το ενδιαφέρον μετατοπίζεται, επομένως, από την επανάληψη της βίαιης πράξης στους τρόπους με τους οποίους η εμπειρία της απειλής μπορεί να επηρεάσει τη συναισθηματική ρύθμιση, την αίσθηση ασφάλειας, τη σχέση με τον εαυτό και τους άλλους, τη γονεϊκή λειτουργία και τη συνολικότερη αναπτυξιακή πορεία του παιδιού.</w:t>
      </w:r>
    </w:p>
    <w:p w14:paraId="3C2745E5" w14:textId="77777777" w:rsidR="00E63D5B" w:rsidRPr="00132066" w:rsidRDefault="001F059D">
      <w:pPr>
        <w:pStyle w:val="3"/>
        <w:rPr>
          <w:lang w:val="el-GR"/>
        </w:rPr>
      </w:pPr>
      <w:r>
        <w:rPr>
          <w:lang w:val="el-GR"/>
        </w:rPr>
        <w:t>Ψυχολογικές και αναπτυξιακές επιπτώσεις στα παιδιά</w:t>
      </w:r>
    </w:p>
    <w:p w14:paraId="49B123E7" w14:textId="77777777" w:rsidR="00E63D5B" w:rsidRPr="00132066" w:rsidRDefault="001F059D">
      <w:pPr>
        <w:rPr>
          <w:lang w:val="el-GR"/>
        </w:rPr>
      </w:pPr>
      <w:r>
        <w:rPr>
          <w:lang w:val="el-GR"/>
        </w:rPr>
        <w:t xml:space="preserve">Οι επιπτώσεις της παιδικής έκθεσης στη συντροφική βία έχουν τεκμηριωθεί σε σειρά </w:t>
      </w:r>
      <w:proofErr w:type="spellStart"/>
      <w:r>
        <w:rPr>
          <w:lang w:val="el-GR"/>
        </w:rPr>
        <w:t>μετα</w:t>
      </w:r>
      <w:proofErr w:type="spellEnd"/>
      <w:r>
        <w:rPr>
          <w:lang w:val="el-GR"/>
        </w:rPr>
        <w:t xml:space="preserve">-αναλύσεων. Οι </w:t>
      </w:r>
      <w:r>
        <w:t>Kitzmann</w:t>
      </w:r>
      <w:r>
        <w:rPr>
          <w:lang w:val="el-GR"/>
        </w:rPr>
        <w:t xml:space="preserve"> και συν. (2003) και οι </w:t>
      </w:r>
      <w:r>
        <w:t>Wolfe</w:t>
      </w:r>
      <w:r>
        <w:rPr>
          <w:lang w:val="el-GR"/>
        </w:rPr>
        <w:t xml:space="preserve"> και συν. (2003) κατέγραψαν περισσότερα προβλήματα εσωτερίκευσης και εξωτερίκευσης, δυσκολίες στην κοινωνική και ακαδημαϊκή λειτουργικότητα και εντονότερες αρνητικές αντιδράσεις στις συγκρούσεις ενηλίκων, με μικρά έως μέτρια μεγέθη επίδρασης, ενώ οι </w:t>
      </w:r>
      <w:r>
        <w:t>Evans</w:t>
      </w:r>
      <w:r>
        <w:rPr>
          <w:lang w:val="el-GR"/>
        </w:rPr>
        <w:t xml:space="preserve"> και συν. (2008) επιβεβαίωσαν τις σχέσεις αυτές σε 60 μελέτες. Η </w:t>
      </w:r>
      <w:proofErr w:type="spellStart"/>
      <w:r>
        <w:rPr>
          <w:lang w:val="el-GR"/>
        </w:rPr>
        <w:t>μετα</w:t>
      </w:r>
      <w:proofErr w:type="spellEnd"/>
      <w:r>
        <w:rPr>
          <w:lang w:val="el-GR"/>
        </w:rPr>
        <w:t xml:space="preserve">-ανάλυση 74 διαχρονικών μελετών των </w:t>
      </w:r>
      <w:r>
        <w:t>Vu</w:t>
      </w:r>
      <w:r>
        <w:rPr>
          <w:lang w:val="el-GR"/>
        </w:rPr>
        <w:t xml:space="preserve"> και συν. (2016) έδειξε ότι οι συσχετίσεις είναι ισχυρότερες όταν η έκθεση ορίζεται ευρύτερα, ώστε να περιλαμβάνει την ψυχολογική μαζί με τη σωματική βία. Οι συνέπειες διαφοροποιούνται ανά αναπτυξιακό στάδιο (</w:t>
      </w:r>
      <w:r>
        <w:t>Holt</w:t>
      </w:r>
      <w:r>
        <w:rPr>
          <w:lang w:val="el-GR"/>
        </w:rPr>
        <w:t xml:space="preserve"> </w:t>
      </w:r>
      <w:r>
        <w:t>et</w:t>
      </w:r>
      <w:r>
        <w:rPr>
          <w:lang w:val="el-GR"/>
        </w:rPr>
        <w:t xml:space="preserve"> </w:t>
      </w:r>
      <w:r>
        <w:t>al</w:t>
      </w:r>
      <w:r>
        <w:rPr>
          <w:lang w:val="el-GR"/>
        </w:rPr>
        <w:t>., 2008): δυσκολίες δεσμού στην πρώιμη παιδική ηλικία, προβλήματα συμπεριφοράς στην προσχολική, επιθετικότητα και δυσκολίες με συνομήλικα άτομα στη σχολική, παραβατικότητα και εμπλοκή σε βία στις πρώτες συντροφικές σχέσεις στην εφηβεία. Ο χρονισμός της έκθεσης έχει σημασία (</w:t>
      </w:r>
      <w:r>
        <w:t>Narayan</w:t>
      </w:r>
      <w:r>
        <w:rPr>
          <w:lang w:val="el-GR"/>
        </w:rPr>
        <w:t xml:space="preserve"> </w:t>
      </w:r>
      <w:r>
        <w:t>et</w:t>
      </w:r>
      <w:r>
        <w:rPr>
          <w:lang w:val="el-GR"/>
        </w:rPr>
        <w:t xml:space="preserve"> </w:t>
      </w:r>
      <w:r>
        <w:t>al</w:t>
      </w:r>
      <w:r>
        <w:rPr>
          <w:lang w:val="el-GR"/>
        </w:rPr>
        <w:t xml:space="preserve">., 2013), όπως και το νόημα που αποδίδει το παιδί: η </w:t>
      </w:r>
      <w:proofErr w:type="spellStart"/>
      <w:r>
        <w:rPr>
          <w:lang w:val="el-GR"/>
        </w:rPr>
        <w:t>αυτοενοχοποίηση</w:t>
      </w:r>
      <w:proofErr w:type="spellEnd"/>
      <w:r>
        <w:rPr>
          <w:lang w:val="el-GR"/>
        </w:rPr>
        <w:t xml:space="preserve"> για τη βία μεταξύ των γονέων συνδέεται με αυξημένο κίνδυνο προβλημάτων εξωτερίκευσης (</w:t>
      </w:r>
      <w:r>
        <w:t>Fong</w:t>
      </w:r>
      <w:r>
        <w:rPr>
          <w:lang w:val="el-GR"/>
        </w:rPr>
        <w:t xml:space="preserve"> </w:t>
      </w:r>
      <w:r>
        <w:t>et</w:t>
      </w:r>
      <w:r>
        <w:rPr>
          <w:lang w:val="el-GR"/>
        </w:rPr>
        <w:t xml:space="preserve"> </w:t>
      </w:r>
      <w:r>
        <w:t>al</w:t>
      </w:r>
      <w:r>
        <w:rPr>
          <w:lang w:val="el-GR"/>
        </w:rPr>
        <w:t>., 2019).</w:t>
      </w:r>
    </w:p>
    <w:p w14:paraId="2BBB3A39" w14:textId="77777777" w:rsidR="00E63D5B" w:rsidRPr="00132066" w:rsidRDefault="001F059D">
      <w:pPr>
        <w:pStyle w:val="3"/>
        <w:rPr>
          <w:lang w:val="el-GR"/>
        </w:rPr>
      </w:pPr>
      <w:r>
        <w:rPr>
          <w:lang w:val="el-GR"/>
        </w:rPr>
        <w:t>Γονεϊκή τραυματική επιβάρυνση και λειτουργικότητα του παιδιού</w:t>
      </w:r>
    </w:p>
    <w:p w14:paraId="48B5665D" w14:textId="77777777" w:rsidR="00E63D5B" w:rsidRPr="00132066" w:rsidRDefault="001F059D">
      <w:pPr>
        <w:rPr>
          <w:lang w:val="el-GR"/>
        </w:rPr>
      </w:pPr>
      <w:r>
        <w:rPr>
          <w:lang w:val="el-GR"/>
        </w:rPr>
        <w:t>Μελέτες σε κλινικά και κοινοτικά δείγματα έχουν εξετάσει τη σχέση μεταξύ της τραυματικής συμπτωματολογίας μητέρων που έχουν βιώσει συντροφική βία και της ψυχολογικής λειτουργίας των παιδιών τους. Σε δείγμα 300 ζευγών μητέρας–παιδιού, τα προβλήματα συμπεριφοράς των παιδιών συσχετίζονταν ισχυρά με εκείνα των μητέρων τους (r = 0,66 για τη συνολική βαθμολογία) (</w:t>
      </w:r>
      <w:r>
        <w:t>McFarlane</w:t>
      </w:r>
      <w:r>
        <w:rPr>
          <w:lang w:val="el-GR"/>
        </w:rPr>
        <w:t xml:space="preserve"> </w:t>
      </w:r>
      <w:r>
        <w:t>et</w:t>
      </w:r>
      <w:r>
        <w:rPr>
          <w:lang w:val="el-GR"/>
        </w:rPr>
        <w:t xml:space="preserve"> </w:t>
      </w:r>
      <w:r>
        <w:t>al</w:t>
      </w:r>
      <w:r>
        <w:rPr>
          <w:lang w:val="el-GR"/>
        </w:rPr>
        <w:t>., 2014).</w:t>
      </w:r>
    </w:p>
    <w:p w14:paraId="7224C676" w14:textId="77777777" w:rsidR="00E63D5B" w:rsidRPr="00132066" w:rsidRDefault="001F059D">
      <w:pPr>
        <w:rPr>
          <w:lang w:val="el-GR"/>
        </w:rPr>
      </w:pPr>
      <w:r>
        <w:rPr>
          <w:lang w:val="el-GR"/>
        </w:rPr>
        <w:t xml:space="preserve">Η σχέση αυτή δεν πρέπει να ερμηνεύεται ως γραμμική μεταφορά της ψυχοπαθολογίας από τη μητέρα στο παιδί. Ενδέχεται να αντανακλά την αλληλεπίδραση μεταξύ κοινής έκθεσης στη βία, συνεχιζόμενης απειλής, διατάραξης της οικογενειακής ασφάλειας, τραυματικής επιβάρυνσης του γονέα και </w:t>
      </w:r>
      <w:r>
        <w:rPr>
          <w:lang w:val="el-GR"/>
        </w:rPr>
        <w:lastRenderedPageBreak/>
        <w:t xml:space="preserve">περιορισμένων κοινωνικών ή υλικών πόρων. Η προσεκτική αυτή διατύπωση είναι απαραίτητη ώστε η θεωρία της </w:t>
      </w:r>
      <w:proofErr w:type="spellStart"/>
      <w:r>
        <w:rPr>
          <w:lang w:val="el-GR"/>
        </w:rPr>
        <w:t>διαγενεακής</w:t>
      </w:r>
      <w:proofErr w:type="spellEnd"/>
      <w:r>
        <w:rPr>
          <w:lang w:val="el-GR"/>
        </w:rPr>
        <w:t xml:space="preserve"> μετάδοσης να μην καταλήγει, έστω και ακούσια, στην απόδοση ευθύνης στις κακοποιημένες μητέρες για τις επιπτώσεις της βίας που ασκεί ο δράστης.</w:t>
      </w:r>
    </w:p>
    <w:p w14:paraId="07DEA46B" w14:textId="77777777" w:rsidR="00E63D5B" w:rsidRPr="00132066" w:rsidRDefault="001F059D">
      <w:pPr>
        <w:rPr>
          <w:lang w:val="el-GR"/>
        </w:rPr>
      </w:pPr>
      <w:r>
        <w:rPr>
          <w:lang w:val="el-GR"/>
        </w:rPr>
        <w:t xml:space="preserve">Η σωρευτική διάσταση αναδείχθηκε από τους </w:t>
      </w:r>
      <w:r>
        <w:t>McFarlane</w:t>
      </w:r>
      <w:r>
        <w:rPr>
          <w:lang w:val="el-GR"/>
        </w:rPr>
        <w:t xml:space="preserve"> και συν. (2017): η πιθανότητα τραυματικών συμπτωμάτων στα παιδιά ήταν υψηλότερη όταν οι μητέρες είχαν ιστορικό πολλαπλών δυσμενών εμπειριών παιδικής ηλικίας. Αντίστοιχα, οι </w:t>
      </w:r>
      <w:r>
        <w:t>Wadji</w:t>
      </w:r>
      <w:r>
        <w:rPr>
          <w:lang w:val="el-GR"/>
        </w:rPr>
        <w:t xml:space="preserve"> και συν. (2022), σε δυάδες μητέρας–παιδιού, διαπίστωσαν ότι το ιστορικό παιδικής κακοποίησης της μητέρας συνδεόταν με έκθεση σε συντροφική βία στην ενήλικη ζωή, με άγχος και κατάθλιψη, και, μαζί με την έκθεση του παιδιού στη βία, με περισσότερες δυσκολίες του παιδιού. Η βιβλιογραφία έχει εστιάσει δυσανάλογα στις μητέρες. Όταν ο πατέρας είναι ο δράστης, η συμπεριφορά του επηρεάζει το παιδί άμεσα, μέσω του φόβου και της απειλής, και έμμεσα, μέσω της υπονόμευσης της ασφάλειας της οικογένειας και της γονεϊκής λειτουργίας της μητέρας.</w:t>
      </w:r>
    </w:p>
    <w:p w14:paraId="0356409E" w14:textId="77777777" w:rsidR="00E63D5B" w:rsidRPr="00132066" w:rsidRDefault="001F059D">
      <w:pPr>
        <w:pStyle w:val="3"/>
        <w:rPr>
          <w:lang w:val="el-GR"/>
        </w:rPr>
      </w:pPr>
      <w:r>
        <w:rPr>
          <w:lang w:val="el-GR"/>
        </w:rPr>
        <w:t xml:space="preserve">Μηχανισμοί </w:t>
      </w:r>
      <w:proofErr w:type="spellStart"/>
      <w:r>
        <w:rPr>
          <w:lang w:val="el-GR"/>
        </w:rPr>
        <w:t>διαγενεακής</w:t>
      </w:r>
      <w:proofErr w:type="spellEnd"/>
      <w:r>
        <w:rPr>
          <w:lang w:val="el-GR"/>
        </w:rPr>
        <w:t xml:space="preserve"> συνέχειας</w:t>
      </w:r>
    </w:p>
    <w:p w14:paraId="1EF9932A" w14:textId="77777777" w:rsidR="00E63D5B" w:rsidRPr="00132066" w:rsidRDefault="001F059D">
      <w:pPr>
        <w:rPr>
          <w:lang w:val="el-GR"/>
        </w:rPr>
      </w:pPr>
      <w:r>
        <w:rPr>
          <w:lang w:val="el-GR"/>
        </w:rPr>
        <w:t xml:space="preserve">Οι νεότερες κατευθύνσεις της έρευνας μπορούν να οργανωθούν γύρω από τρεις ευρείες και αλληλεπικαλυπτόμενες κατηγορίες: τις διεργασίες της αναπτυξιακής ψυχοπαθολογίας, την </w:t>
      </w:r>
      <w:proofErr w:type="spellStart"/>
      <w:r>
        <w:rPr>
          <w:lang w:val="el-GR"/>
        </w:rPr>
        <w:t>περιγεννητική</w:t>
      </w:r>
      <w:proofErr w:type="spellEnd"/>
      <w:r>
        <w:rPr>
          <w:lang w:val="el-GR"/>
        </w:rPr>
        <w:t xml:space="preserve"> έκθεση στο τραύμα και τους </w:t>
      </w:r>
      <w:proofErr w:type="spellStart"/>
      <w:r>
        <w:rPr>
          <w:lang w:val="el-GR"/>
        </w:rPr>
        <w:t>νευροβιολογικούς</w:t>
      </w:r>
      <w:proofErr w:type="spellEnd"/>
      <w:r>
        <w:rPr>
          <w:lang w:val="el-GR"/>
        </w:rPr>
        <w:t xml:space="preserve"> μηχανισμούς (</w:t>
      </w:r>
      <w:proofErr w:type="spellStart"/>
      <w:r>
        <w:t>Ehrensaft</w:t>
      </w:r>
      <w:proofErr w:type="spellEnd"/>
      <w:r>
        <w:rPr>
          <w:lang w:val="el-GR"/>
        </w:rPr>
        <w:t xml:space="preserve"> &amp; </w:t>
      </w:r>
      <w:proofErr w:type="spellStart"/>
      <w:r>
        <w:t>Langhinrichsen</w:t>
      </w:r>
      <w:proofErr w:type="spellEnd"/>
      <w:r>
        <w:rPr>
          <w:lang w:val="el-GR"/>
        </w:rPr>
        <w:t>-</w:t>
      </w:r>
      <w:r>
        <w:t>Rohling</w:t>
      </w:r>
      <w:r>
        <w:rPr>
          <w:lang w:val="el-GR"/>
        </w:rPr>
        <w:t xml:space="preserve">, 2022). Η συγκεκριμένη ταξινόμηση δεν συνιστά εξαντλητικό ή πλήρως επιβεβαιωμένο αιτιολογικό μοντέλο. Αντίθετα, αποτυπώνει πιθανές διαδρομές μέσω των οποίων η παιδική έκθεση μπορεί, υπό ορισμένες συνθήκες, να αυξάνει τον μεταγενέστερο κίνδυνο. Από τις διαδρομές αυτές, η ισχυρότερη εμπειρική στήριξη αφορά τις αναπτυξιακές και ψυχοκοινωνικές διεργασίες, ενώ τα </w:t>
      </w:r>
      <w:proofErr w:type="spellStart"/>
      <w:r>
        <w:rPr>
          <w:lang w:val="el-GR"/>
        </w:rPr>
        <w:t>περιγεννητικά</w:t>
      </w:r>
      <w:proofErr w:type="spellEnd"/>
      <w:r>
        <w:rPr>
          <w:lang w:val="el-GR"/>
        </w:rPr>
        <w:t xml:space="preserve"> και </w:t>
      </w:r>
      <w:proofErr w:type="spellStart"/>
      <w:r>
        <w:rPr>
          <w:lang w:val="el-GR"/>
        </w:rPr>
        <w:t>νευροβιολογικά</w:t>
      </w:r>
      <w:proofErr w:type="spellEnd"/>
      <w:r>
        <w:rPr>
          <w:lang w:val="el-GR"/>
        </w:rPr>
        <w:t xml:space="preserve"> μονοπάτια παραμένουν περισσότερο διερευνητικά.</w:t>
      </w:r>
    </w:p>
    <w:p w14:paraId="678F7AB6" w14:textId="77777777" w:rsidR="00E63D5B" w:rsidRPr="00132066" w:rsidRDefault="001F059D">
      <w:pPr>
        <w:rPr>
          <w:lang w:val="el-GR"/>
        </w:rPr>
      </w:pPr>
      <w:r>
        <w:rPr>
          <w:lang w:val="el-GR"/>
        </w:rPr>
        <w:t xml:space="preserve">Στις αναπτυξιακές διαδρομές, η ψυχολογική δυσφορία αποτελεί μία πιθανή οδό: στη μελέτη της </w:t>
      </w:r>
      <w:proofErr w:type="spellStart"/>
      <w:r>
        <w:t>Cascardi</w:t>
      </w:r>
      <w:proofErr w:type="spellEnd"/>
      <w:r>
        <w:rPr>
          <w:lang w:val="el-GR"/>
        </w:rPr>
        <w:t xml:space="preserve"> (2016) η παιδική έκθεση στα 12 έτη συνδεόταν με </w:t>
      </w:r>
      <w:proofErr w:type="spellStart"/>
      <w:r>
        <w:rPr>
          <w:lang w:val="el-GR"/>
        </w:rPr>
        <w:t>θυματοποίηση</w:t>
      </w:r>
      <w:proofErr w:type="spellEnd"/>
      <w:r>
        <w:rPr>
          <w:lang w:val="el-GR"/>
        </w:rPr>
        <w:t xml:space="preserve"> στα 18, με τη σχέση να εξηγείται εν μέρει από συμπτώματα ΔΜΤΣ, κατάθλιψης και άγχους. Μια δεύτερη οδός περνά από τη γενίκευση της επιθετικότητας και τις σχέσεις με συνομήλικα άτομα (</w:t>
      </w:r>
      <w:r>
        <w:t>Morris</w:t>
      </w:r>
      <w:r>
        <w:rPr>
          <w:lang w:val="el-GR"/>
        </w:rPr>
        <w:t xml:space="preserve"> </w:t>
      </w:r>
      <w:r>
        <w:t>et</w:t>
      </w:r>
      <w:r>
        <w:rPr>
          <w:lang w:val="el-GR"/>
        </w:rPr>
        <w:t xml:space="preserve"> </w:t>
      </w:r>
      <w:r>
        <w:t>al</w:t>
      </w:r>
      <w:r>
        <w:rPr>
          <w:lang w:val="el-GR"/>
        </w:rPr>
        <w:t>., 2015), μια τρίτη από την επιλογή συντρόφου και τα χαρακτηριστικά του ζεύγους (</w:t>
      </w:r>
      <w:r>
        <w:t>Low</w:t>
      </w:r>
      <w:r>
        <w:rPr>
          <w:lang w:val="el-GR"/>
        </w:rPr>
        <w:t xml:space="preserve"> </w:t>
      </w:r>
      <w:r>
        <w:t>et</w:t>
      </w:r>
      <w:r>
        <w:rPr>
          <w:lang w:val="el-GR"/>
        </w:rPr>
        <w:t xml:space="preserve"> </w:t>
      </w:r>
      <w:r>
        <w:t>al</w:t>
      </w:r>
      <w:r>
        <w:rPr>
          <w:lang w:val="el-GR"/>
        </w:rPr>
        <w:t xml:space="preserve">., 2019), ενώ γνωστικοί και </w:t>
      </w:r>
      <w:proofErr w:type="spellStart"/>
      <w:r>
        <w:rPr>
          <w:lang w:val="el-GR"/>
        </w:rPr>
        <w:t>ταυτοτικοί</w:t>
      </w:r>
      <w:proofErr w:type="spellEnd"/>
      <w:r>
        <w:rPr>
          <w:lang w:val="el-GR"/>
        </w:rPr>
        <w:t xml:space="preserve"> μηχανισμοί, όπως τα πρώιμα σχήματα αποσύνδεσης και απόρριψης, λειτουργούν ως ενδιάμεσοι κρίκοι (</w:t>
      </w:r>
      <w:r>
        <w:t>Calvete</w:t>
      </w:r>
      <w:r>
        <w:rPr>
          <w:lang w:val="el-GR"/>
        </w:rPr>
        <w:t xml:space="preserve"> </w:t>
      </w:r>
      <w:r>
        <w:t>et</w:t>
      </w:r>
      <w:r>
        <w:rPr>
          <w:lang w:val="el-GR"/>
        </w:rPr>
        <w:t xml:space="preserve"> </w:t>
      </w:r>
      <w:r>
        <w:t>al</w:t>
      </w:r>
      <w:r>
        <w:rPr>
          <w:lang w:val="el-GR"/>
        </w:rPr>
        <w:t>., 2018).</w:t>
      </w:r>
    </w:p>
    <w:p w14:paraId="06638AC3" w14:textId="77777777" w:rsidR="00E63D5B" w:rsidRPr="00132066" w:rsidRDefault="001F059D">
      <w:pPr>
        <w:rPr>
          <w:lang w:val="el-GR"/>
        </w:rPr>
      </w:pPr>
      <w:r>
        <w:rPr>
          <w:lang w:val="el-GR"/>
        </w:rPr>
        <w:t xml:space="preserve">Η συντροφική βία επηρεάζει τα παιδιά και μέσω της γονεϊκής λειτουργίας. Η </w:t>
      </w:r>
      <w:proofErr w:type="spellStart"/>
      <w:r>
        <w:rPr>
          <w:lang w:val="el-GR"/>
        </w:rPr>
        <w:t>θυματοποίηση</w:t>
      </w:r>
      <w:proofErr w:type="spellEnd"/>
      <w:r>
        <w:rPr>
          <w:lang w:val="el-GR"/>
        </w:rPr>
        <w:t xml:space="preserve"> συνδέεται με περισσότερες αρνητικές </w:t>
      </w:r>
      <w:proofErr w:type="spellStart"/>
      <w:r>
        <w:rPr>
          <w:lang w:val="el-GR"/>
        </w:rPr>
        <w:t>γονεϊκές</w:t>
      </w:r>
      <w:proofErr w:type="spellEnd"/>
      <w:r>
        <w:rPr>
          <w:lang w:val="el-GR"/>
        </w:rPr>
        <w:t xml:space="preserve"> συμπεριφορές και χαμηλότερη εμπλοκή και ζεστασιά (</w:t>
      </w:r>
      <w:r>
        <w:t>Chiesa</w:t>
      </w:r>
      <w:r>
        <w:rPr>
          <w:lang w:val="el-GR"/>
        </w:rPr>
        <w:t xml:space="preserve"> </w:t>
      </w:r>
      <w:r>
        <w:t>et</w:t>
      </w:r>
      <w:r>
        <w:rPr>
          <w:lang w:val="el-GR"/>
        </w:rPr>
        <w:t xml:space="preserve"> </w:t>
      </w:r>
      <w:r>
        <w:t>al</w:t>
      </w:r>
      <w:r>
        <w:rPr>
          <w:lang w:val="el-GR"/>
        </w:rPr>
        <w:t>., 2018·</w:t>
      </w:r>
      <w:r>
        <w:t>Levendosky</w:t>
      </w:r>
      <w:r>
        <w:rPr>
          <w:lang w:val="el-GR"/>
        </w:rPr>
        <w:t xml:space="preserve"> &amp; </w:t>
      </w:r>
      <w:r>
        <w:t>Graham</w:t>
      </w:r>
      <w:r>
        <w:rPr>
          <w:lang w:val="el-GR"/>
        </w:rPr>
        <w:t>-</w:t>
      </w:r>
      <w:r>
        <w:t>Bermann</w:t>
      </w:r>
      <w:r>
        <w:rPr>
          <w:lang w:val="el-GR"/>
        </w:rPr>
        <w:t>, 2001), χωρίς αυτό να σημαίνει αναπόφευκτη έκπτωση της γονεϊκής ικανότητας: η επίδραση διαφοροποιείται και συνυπάρχει με ενεργητικές προσπάθειες προστασίας, ενώ η θετική γονεϊκότητα διαμεσολαβεί μέρος της σχέσης (</w:t>
      </w:r>
      <w:proofErr w:type="spellStart"/>
      <w:r>
        <w:t>Ehrensaft</w:t>
      </w:r>
      <w:proofErr w:type="spellEnd"/>
      <w:r>
        <w:rPr>
          <w:lang w:val="el-GR"/>
        </w:rPr>
        <w:t xml:space="preserve"> </w:t>
      </w:r>
      <w:r>
        <w:t>et</w:t>
      </w:r>
      <w:r>
        <w:rPr>
          <w:lang w:val="el-GR"/>
        </w:rPr>
        <w:t xml:space="preserve"> </w:t>
      </w:r>
      <w:r>
        <w:t>al</w:t>
      </w:r>
      <w:r>
        <w:rPr>
          <w:lang w:val="el-GR"/>
        </w:rPr>
        <w:t xml:space="preserve">., 2017). Η γονεϊκή </w:t>
      </w:r>
      <w:proofErr w:type="spellStart"/>
      <w:r>
        <w:rPr>
          <w:lang w:val="el-GR"/>
        </w:rPr>
        <w:t>αναστοχαστική</w:t>
      </w:r>
      <w:proofErr w:type="spellEnd"/>
      <w:r>
        <w:rPr>
          <w:lang w:val="el-GR"/>
        </w:rPr>
        <w:t xml:space="preserve"> λειτουργία, δηλαδή η ικανότητα του γονέα να κατανοεί τις δικές του νοητικές καταστάσεις και εκείνες του παιδιού και να μην ερμηνεύει τον φόβο ή την αντίσταση του παιδιού ως ανυπακοή, προτείνεται ως ο γνωστικός κρίκος που συνδέει τη βία με τη γονεϊκή συμπεριφορά (</w:t>
      </w:r>
      <w:proofErr w:type="spellStart"/>
      <w:r>
        <w:t>Suardi</w:t>
      </w:r>
      <w:proofErr w:type="spellEnd"/>
      <w:r>
        <w:rPr>
          <w:lang w:val="el-GR"/>
        </w:rPr>
        <w:t xml:space="preserve"> </w:t>
      </w:r>
      <w:r>
        <w:t>et</w:t>
      </w:r>
      <w:r>
        <w:rPr>
          <w:lang w:val="el-GR"/>
        </w:rPr>
        <w:t xml:space="preserve"> </w:t>
      </w:r>
      <w:r>
        <w:t>al</w:t>
      </w:r>
      <w:r>
        <w:rPr>
          <w:lang w:val="el-GR"/>
        </w:rPr>
        <w:t xml:space="preserve">., 2020·Jongenelen </w:t>
      </w:r>
      <w:proofErr w:type="spellStart"/>
      <w:r>
        <w:rPr>
          <w:lang w:val="el-GR"/>
        </w:rPr>
        <w:t>et</w:t>
      </w:r>
      <w:proofErr w:type="spellEnd"/>
      <w:r>
        <w:rPr>
          <w:lang w:val="el-GR"/>
        </w:rPr>
        <w:t xml:space="preserve"> </w:t>
      </w:r>
      <w:proofErr w:type="spellStart"/>
      <w:r>
        <w:rPr>
          <w:lang w:val="el-GR"/>
        </w:rPr>
        <w:t>al</w:t>
      </w:r>
      <w:proofErr w:type="spellEnd"/>
      <w:r>
        <w:rPr>
          <w:lang w:val="el-GR"/>
        </w:rPr>
        <w:t xml:space="preserve">., 2023). Τα σχετικά δείγματα είναι όμως μικρά, και η </w:t>
      </w:r>
      <w:proofErr w:type="spellStart"/>
      <w:r>
        <w:rPr>
          <w:lang w:val="el-GR"/>
        </w:rPr>
        <w:t>αναστοχαστική</w:t>
      </w:r>
      <w:proofErr w:type="spellEnd"/>
      <w:r>
        <w:rPr>
          <w:lang w:val="el-GR"/>
        </w:rPr>
        <w:t xml:space="preserve"> λειτουργία δεν αποτελεί από μόνη της κριτήριο ασφάλειας (</w:t>
      </w:r>
      <w:r>
        <w:t>Stover</w:t>
      </w:r>
      <w:r>
        <w:rPr>
          <w:lang w:val="el-GR"/>
        </w:rPr>
        <w:t xml:space="preserve"> </w:t>
      </w:r>
      <w:r>
        <w:t>et</w:t>
      </w:r>
      <w:r>
        <w:rPr>
          <w:lang w:val="el-GR"/>
        </w:rPr>
        <w:t xml:space="preserve"> </w:t>
      </w:r>
      <w:r>
        <w:t>al</w:t>
      </w:r>
      <w:r>
        <w:rPr>
          <w:lang w:val="el-GR"/>
        </w:rPr>
        <w:t>., 2023).</w:t>
      </w:r>
    </w:p>
    <w:p w14:paraId="33CF0ADF" w14:textId="48C0C60F" w:rsidR="00E63D5B" w:rsidRPr="00132066" w:rsidRDefault="001F059D">
      <w:pPr>
        <w:rPr>
          <w:lang w:val="el-GR"/>
        </w:rPr>
      </w:pPr>
      <w:r>
        <w:rPr>
          <w:lang w:val="el-GR"/>
        </w:rPr>
        <w:t>Ο κίνδυνος αυξάνεται καθώς συσσωρεύονται διαφορετικές μορφές αντιξοότητας (</w:t>
      </w:r>
      <w:proofErr w:type="spellStart"/>
      <w:r>
        <w:t>Felitti</w:t>
      </w:r>
      <w:proofErr w:type="spellEnd"/>
      <w:r>
        <w:rPr>
          <w:lang w:val="el-GR"/>
        </w:rPr>
        <w:t xml:space="preserve"> </w:t>
      </w:r>
      <w:r>
        <w:t>et</w:t>
      </w:r>
      <w:r>
        <w:rPr>
          <w:lang w:val="el-GR"/>
        </w:rPr>
        <w:t xml:space="preserve"> </w:t>
      </w:r>
      <w:r>
        <w:t>al</w:t>
      </w:r>
      <w:r>
        <w:rPr>
          <w:lang w:val="el-GR"/>
        </w:rPr>
        <w:t>., 1998·</w:t>
      </w:r>
      <w:r>
        <w:t>Shin</w:t>
      </w:r>
      <w:r>
        <w:rPr>
          <w:lang w:val="el-GR"/>
        </w:rPr>
        <w:t xml:space="preserve"> </w:t>
      </w:r>
      <w:r>
        <w:t>et</w:t>
      </w:r>
      <w:r>
        <w:rPr>
          <w:lang w:val="el-GR"/>
        </w:rPr>
        <w:t xml:space="preserve"> </w:t>
      </w:r>
      <w:r>
        <w:t>al</w:t>
      </w:r>
      <w:r>
        <w:rPr>
          <w:lang w:val="el-GR"/>
        </w:rPr>
        <w:t>., 2023), η έρευνα όμως έχει επικεντρωθεί περισσότερο στους παράγοντες κινδύνου παρά στους μηχανισμούς διακοπής (</w:t>
      </w:r>
      <w:proofErr w:type="spellStart"/>
      <w:r>
        <w:t>Ehrensaft</w:t>
      </w:r>
      <w:proofErr w:type="spellEnd"/>
      <w:r>
        <w:rPr>
          <w:lang w:val="el-GR"/>
        </w:rPr>
        <w:t xml:space="preserve"> &amp; </w:t>
      </w:r>
      <w:proofErr w:type="spellStart"/>
      <w:r>
        <w:t>Langhinrichsen</w:t>
      </w:r>
      <w:proofErr w:type="spellEnd"/>
      <w:r>
        <w:rPr>
          <w:lang w:val="el-GR"/>
        </w:rPr>
        <w:t>-</w:t>
      </w:r>
      <w:r>
        <w:t>Rohling</w:t>
      </w:r>
      <w:r>
        <w:rPr>
          <w:lang w:val="el-GR"/>
        </w:rPr>
        <w:t xml:space="preserve">, 2022). Η παρουσία τουλάχιστον ενός ασφαλούς προσώπου φροντίδας, η θετική γονεϊκότητα, οι υποστηρικτικές σχέσεις, </w:t>
      </w:r>
      <w:r>
        <w:rPr>
          <w:lang w:val="el-GR"/>
        </w:rPr>
        <w:lastRenderedPageBreak/>
        <w:t xml:space="preserve">η πρόσβαση σε πόρους και οι έγκαιρες παρεμβάσεις περιορίζουν τον κίνδυνο. Οι </w:t>
      </w:r>
      <w:proofErr w:type="spellStart"/>
      <w:r>
        <w:rPr>
          <w:lang w:val="el-GR"/>
        </w:rPr>
        <w:t>περιγεννητικοί</w:t>
      </w:r>
      <w:proofErr w:type="spellEnd"/>
      <w:r>
        <w:rPr>
          <w:lang w:val="el-GR"/>
        </w:rPr>
        <w:t xml:space="preserve"> και </w:t>
      </w:r>
      <w:proofErr w:type="spellStart"/>
      <w:r>
        <w:rPr>
          <w:lang w:val="el-GR"/>
        </w:rPr>
        <w:t>νευροβιολογικοί</w:t>
      </w:r>
      <w:proofErr w:type="spellEnd"/>
      <w:r>
        <w:rPr>
          <w:lang w:val="el-GR"/>
        </w:rPr>
        <w:t xml:space="preserve"> μηχανισμοί αποτελούν αναδυόμενο πεδίο: η βία κατά την εγκυμοσύνη έχει συνδεθεί με δυσμενείς νεογνικές εκβάσεις (</w:t>
      </w:r>
      <w:r>
        <w:t>Donovan</w:t>
      </w:r>
      <w:r>
        <w:rPr>
          <w:lang w:val="el-GR"/>
        </w:rPr>
        <w:t xml:space="preserve"> </w:t>
      </w:r>
      <w:r>
        <w:t>et</w:t>
      </w:r>
      <w:r>
        <w:rPr>
          <w:lang w:val="el-GR"/>
        </w:rPr>
        <w:t xml:space="preserve"> </w:t>
      </w:r>
      <w:r>
        <w:t>al</w:t>
      </w:r>
      <w:r>
        <w:rPr>
          <w:lang w:val="el-GR"/>
        </w:rPr>
        <w:t>., 2016), με καταθλιπτικά συμπτώματα της μητέρας και προβλήματα συμπεριφοράς του παιδιού στους 42 μήνες (</w:t>
      </w:r>
      <w:r>
        <w:t>Flach</w:t>
      </w:r>
      <w:r>
        <w:rPr>
          <w:lang w:val="el-GR"/>
        </w:rPr>
        <w:t xml:space="preserve"> </w:t>
      </w:r>
      <w:r>
        <w:t>et</w:t>
      </w:r>
      <w:r>
        <w:rPr>
          <w:lang w:val="el-GR"/>
        </w:rPr>
        <w:t xml:space="preserve"> </w:t>
      </w:r>
      <w:r>
        <w:t>al</w:t>
      </w:r>
      <w:r>
        <w:rPr>
          <w:lang w:val="el-GR"/>
        </w:rPr>
        <w:t xml:space="preserve">., 2011) και με διαφοροποιημένη αντιδραστικότητα της </w:t>
      </w:r>
      <w:proofErr w:type="spellStart"/>
      <w:r>
        <w:rPr>
          <w:lang w:val="el-GR"/>
        </w:rPr>
        <w:t>κορτιζόλης</w:t>
      </w:r>
      <w:proofErr w:type="spellEnd"/>
      <w:r>
        <w:rPr>
          <w:lang w:val="el-GR"/>
        </w:rPr>
        <w:t xml:space="preserve"> στα βρέφη (</w:t>
      </w:r>
      <w:r>
        <w:t>Levendosky</w:t>
      </w:r>
      <w:r>
        <w:rPr>
          <w:lang w:val="el-GR"/>
        </w:rPr>
        <w:t xml:space="preserve"> </w:t>
      </w:r>
      <w:r>
        <w:t>et</w:t>
      </w:r>
      <w:r>
        <w:rPr>
          <w:lang w:val="el-GR"/>
        </w:rPr>
        <w:t xml:space="preserve"> </w:t>
      </w:r>
      <w:r>
        <w:t>al</w:t>
      </w:r>
      <w:r>
        <w:rPr>
          <w:lang w:val="el-GR"/>
        </w:rPr>
        <w:t xml:space="preserve">., 2016). Τα ευρήματα αυτά υποδεικνύουν συσχετίσεις, όχι βιολογική ή </w:t>
      </w:r>
      <w:proofErr w:type="spellStart"/>
      <w:r>
        <w:rPr>
          <w:lang w:val="el-GR"/>
        </w:rPr>
        <w:t>επιγενετική</w:t>
      </w:r>
      <w:proofErr w:type="spellEnd"/>
      <w:r>
        <w:rPr>
          <w:lang w:val="el-GR"/>
        </w:rPr>
        <w:t xml:space="preserve"> «μετάδοση» της βίας, και οι διεργασίες αυτές </w:t>
      </w:r>
      <w:proofErr w:type="spellStart"/>
      <w:r>
        <w:rPr>
          <w:lang w:val="el-GR"/>
        </w:rPr>
        <w:t>αλληλεπιδρούν</w:t>
      </w:r>
      <w:proofErr w:type="spellEnd"/>
      <w:r>
        <w:rPr>
          <w:lang w:val="el-GR"/>
        </w:rPr>
        <w:t xml:space="preserve"> με τη μεταγενέστερη φροντίδα και τη συνεχιζόμενη έκθεση στη βία.</w:t>
      </w:r>
    </w:p>
    <w:p w14:paraId="28E0D10C" w14:textId="77777777" w:rsidR="00E63D5B" w:rsidRPr="00132066" w:rsidRDefault="001F059D">
      <w:pPr>
        <w:rPr>
          <w:lang w:val="el-GR"/>
        </w:rPr>
      </w:pPr>
      <w:r>
        <w:rPr>
          <w:lang w:val="el-GR"/>
        </w:rPr>
        <w:t xml:space="preserve">Η βιβλιογραφία έχει και σημαντικές μεθοδολογικές αδυναμίες: συχνά συγχέει διαφορετικές μορφές βίας, έκθεσης και έκβασης, στηρίζεται σε αναδρομικές </w:t>
      </w:r>
      <w:proofErr w:type="spellStart"/>
      <w:r>
        <w:rPr>
          <w:lang w:val="el-GR"/>
        </w:rPr>
        <w:t>αυτοαναφορές</w:t>
      </w:r>
      <w:proofErr w:type="spellEnd"/>
      <w:r>
        <w:rPr>
          <w:lang w:val="el-GR"/>
        </w:rPr>
        <w:t xml:space="preserve"> (</w:t>
      </w:r>
      <w:r>
        <w:t>Hardt</w:t>
      </w:r>
      <w:r>
        <w:rPr>
          <w:lang w:val="el-GR"/>
        </w:rPr>
        <w:t xml:space="preserve"> &amp; </w:t>
      </w:r>
      <w:r>
        <w:t>Rutter</w:t>
      </w:r>
      <w:r>
        <w:rPr>
          <w:lang w:val="el-GR"/>
        </w:rPr>
        <w:t xml:space="preserve">, 2004) και σε έναν μόνο πληροφοριοδότη, και αντλεί δείγματα από καταφύγια ή δικαστικές υπηρεσίες που </w:t>
      </w:r>
      <w:proofErr w:type="spellStart"/>
      <w:r>
        <w:rPr>
          <w:lang w:val="el-GR"/>
        </w:rPr>
        <w:t>υπεραντιπροσωπεύουν</w:t>
      </w:r>
      <w:proofErr w:type="spellEnd"/>
      <w:r>
        <w:rPr>
          <w:lang w:val="el-GR"/>
        </w:rPr>
        <w:t xml:space="preserve"> τις σοβαρότερες περιπτώσεις. Ακόμη και όταν διαπιστώνεται στατιστική διαμεσολάβηση, χρειάζεται να αποκλείονται εναλλακτικές εξηγήσεις, όπως η κοινή γενετική </w:t>
      </w:r>
      <w:proofErr w:type="spellStart"/>
      <w:r>
        <w:rPr>
          <w:lang w:val="el-GR"/>
        </w:rPr>
        <w:t>ευαλωτότητα</w:t>
      </w:r>
      <w:proofErr w:type="spellEnd"/>
      <w:r>
        <w:rPr>
          <w:lang w:val="el-GR"/>
        </w:rPr>
        <w:t>, η κοινωνικοοικονομική αντιξοότητα και η συνεχιζόμενη έκθεση (</w:t>
      </w:r>
      <w:r>
        <w:t>Imai</w:t>
      </w:r>
      <w:r>
        <w:rPr>
          <w:lang w:val="el-GR"/>
        </w:rPr>
        <w:t xml:space="preserve"> </w:t>
      </w:r>
      <w:r>
        <w:t>et</w:t>
      </w:r>
      <w:r>
        <w:rPr>
          <w:lang w:val="el-GR"/>
        </w:rPr>
        <w:t xml:space="preserve"> </w:t>
      </w:r>
      <w:r>
        <w:t>al</w:t>
      </w:r>
      <w:r>
        <w:rPr>
          <w:lang w:val="el-GR"/>
        </w:rPr>
        <w:t xml:space="preserve">., 2010). Τέλος, η εστίαση στις μητέρες μπορεί να δημιουργήσει την εσφαλμένη εντύπωση ότι η </w:t>
      </w:r>
      <w:proofErr w:type="spellStart"/>
      <w:r>
        <w:rPr>
          <w:lang w:val="el-GR"/>
        </w:rPr>
        <w:t>διαγενεακή</w:t>
      </w:r>
      <w:proofErr w:type="spellEnd"/>
      <w:r>
        <w:rPr>
          <w:lang w:val="el-GR"/>
        </w:rPr>
        <w:t xml:space="preserve"> επίδραση είναι κυρίως συνάρτηση της μητρικής λειτουργίας, ενώ η συμπεριφορά και η ευθύνη του δράστη μελετώνται λιγότερο.</w:t>
      </w:r>
    </w:p>
    <w:p w14:paraId="53C09080" w14:textId="77777777" w:rsidR="00E63D5B" w:rsidRPr="00132066" w:rsidRDefault="001F059D">
      <w:pPr>
        <w:pStyle w:val="3"/>
        <w:rPr>
          <w:lang w:val="el-GR"/>
        </w:rPr>
      </w:pPr>
      <w:r>
        <w:rPr>
          <w:lang w:val="el-GR"/>
        </w:rPr>
        <w:t>Σύνθεση</w:t>
      </w:r>
    </w:p>
    <w:p w14:paraId="1D7461DB" w14:textId="77777777" w:rsidR="00E63D5B" w:rsidRPr="00132066" w:rsidRDefault="001F059D">
      <w:pPr>
        <w:rPr>
          <w:lang w:val="el-GR"/>
        </w:rPr>
      </w:pPr>
      <w:r>
        <w:rPr>
          <w:lang w:val="el-GR"/>
        </w:rPr>
        <w:t xml:space="preserve">Συνολικά, η </w:t>
      </w:r>
      <w:proofErr w:type="spellStart"/>
      <w:r>
        <w:rPr>
          <w:lang w:val="el-GR"/>
        </w:rPr>
        <w:t>διαγενεακή</w:t>
      </w:r>
      <w:proofErr w:type="spellEnd"/>
      <w:r>
        <w:rPr>
          <w:lang w:val="el-GR"/>
        </w:rPr>
        <w:t xml:space="preserve"> συνέχεια της βίας και η μετάδοση των συνεπειών του τραύματος δεν αποτελούν γραμμικές ή ντετερμινιστικές διαδικασίες. Διαμορφώνονται μέσα από την αλληλεπίδραση της άμεσης και έμμεσης έκθεσης στη βία, της ψυχολογικής δυσφορίας, της συναισθηματικής ρύθμισης, των γνωστικών και σχεσιακών σχημάτων, των σχέσεων με συνομήλικα άτομα, της επιλογής συντρόφου, της γονεϊκής λειτουργίας, των </w:t>
      </w:r>
      <w:proofErr w:type="spellStart"/>
      <w:r>
        <w:rPr>
          <w:lang w:val="el-GR"/>
        </w:rPr>
        <w:t>περιγεννητικών</w:t>
      </w:r>
      <w:proofErr w:type="spellEnd"/>
      <w:r>
        <w:rPr>
          <w:lang w:val="el-GR"/>
        </w:rPr>
        <w:t xml:space="preserve"> διεργασιών και των ευρύτερων κοινωνικών και υλικών συνθηκών.</w:t>
      </w:r>
    </w:p>
    <w:p w14:paraId="14DAE2DB" w14:textId="267AF682" w:rsidR="00E63D5B" w:rsidRPr="00132066" w:rsidRDefault="001F059D">
      <w:pPr>
        <w:rPr>
          <w:lang w:val="el-GR"/>
        </w:rPr>
      </w:pPr>
      <w:r>
        <w:rPr>
          <w:lang w:val="el-GR"/>
        </w:rPr>
        <w:t xml:space="preserve">Συμπερασματικά, το γεγονός ότι η πλειονότητα των ατόμων που έχουν εκτεθεί σε οικογενειακή βία δεν αναπαράγει αργότερα τη βία αποτελεί κεντρικό εμπειρικό εύρημα και όχι εξαίρεση που πρέπει να </w:t>
      </w:r>
      <w:proofErr w:type="spellStart"/>
      <w:r>
        <w:rPr>
          <w:lang w:val="el-GR"/>
        </w:rPr>
        <w:t>παραβλέπεται</w:t>
      </w:r>
      <w:proofErr w:type="spellEnd"/>
      <w:r>
        <w:rPr>
          <w:lang w:val="el-GR"/>
        </w:rPr>
        <w:t xml:space="preserve"> (</w:t>
      </w:r>
      <w:proofErr w:type="spellStart"/>
      <w:r>
        <w:rPr>
          <w:lang w:val="el-GR"/>
        </w:rPr>
        <w:t>Assink</w:t>
      </w:r>
      <w:proofErr w:type="spellEnd"/>
      <w:r>
        <w:rPr>
          <w:lang w:val="el-GR"/>
        </w:rPr>
        <w:t xml:space="preserve"> </w:t>
      </w:r>
      <w:proofErr w:type="spellStart"/>
      <w:r>
        <w:rPr>
          <w:lang w:val="el-GR"/>
        </w:rPr>
        <w:t>et</w:t>
      </w:r>
      <w:proofErr w:type="spellEnd"/>
      <w:r>
        <w:rPr>
          <w:lang w:val="el-GR"/>
        </w:rPr>
        <w:t xml:space="preserve"> </w:t>
      </w:r>
      <w:proofErr w:type="spellStart"/>
      <w:r>
        <w:rPr>
          <w:lang w:val="el-GR"/>
        </w:rPr>
        <w:t>al</w:t>
      </w:r>
      <w:proofErr w:type="spellEnd"/>
      <w:r>
        <w:rPr>
          <w:lang w:val="el-GR"/>
        </w:rPr>
        <w:t xml:space="preserve">., 2018·Madigan </w:t>
      </w:r>
      <w:proofErr w:type="spellStart"/>
      <w:r>
        <w:rPr>
          <w:lang w:val="el-GR"/>
        </w:rPr>
        <w:t>et</w:t>
      </w:r>
      <w:proofErr w:type="spellEnd"/>
      <w:r>
        <w:rPr>
          <w:lang w:val="el-GR"/>
        </w:rPr>
        <w:t xml:space="preserve"> </w:t>
      </w:r>
      <w:proofErr w:type="spellStart"/>
      <w:r>
        <w:rPr>
          <w:lang w:val="el-GR"/>
        </w:rPr>
        <w:t>al</w:t>
      </w:r>
      <w:proofErr w:type="spellEnd"/>
      <w:r>
        <w:rPr>
          <w:lang w:val="el-GR"/>
        </w:rPr>
        <w:t xml:space="preserve">., 2019). Η μελέτη της </w:t>
      </w:r>
      <w:proofErr w:type="spellStart"/>
      <w:r>
        <w:rPr>
          <w:lang w:val="el-GR"/>
        </w:rPr>
        <w:t>διαγενεακής</w:t>
      </w:r>
      <w:proofErr w:type="spellEnd"/>
      <w:r>
        <w:rPr>
          <w:lang w:val="el-GR"/>
        </w:rPr>
        <w:t xml:space="preserve"> συνέχειας χρειάζεται, επομένως, να εξετάζει συστηματικά όχι μόνο τους παράγοντες κινδύνου, αλλά και τις διεργασίες προστασίας: τις ασφαλείς σχέσεις, τη θετική και υποστηρικτική φροντίδα, την κοινωνική υποστήριξη, την οικονομική ασφάλεια και την έγκαιρη πρόσβαση σε κατάλληλες υπηρεσίες (</w:t>
      </w:r>
      <w:r>
        <w:t>Tracy</w:t>
      </w:r>
      <w:r>
        <w:rPr>
          <w:lang w:val="el-GR"/>
        </w:rPr>
        <w:t xml:space="preserve"> </w:t>
      </w:r>
      <w:r>
        <w:t>et</w:t>
      </w:r>
      <w:r>
        <w:rPr>
          <w:lang w:val="el-GR"/>
        </w:rPr>
        <w:t xml:space="preserve"> </w:t>
      </w:r>
      <w:r>
        <w:t>al</w:t>
      </w:r>
      <w:r>
        <w:rPr>
          <w:lang w:val="el-GR"/>
        </w:rPr>
        <w:t>., 2018). Υπό αυτή την οπτική, η διακοπή της συνέχειας δεν εξαρτάται αποκλειστικά από την ατομική ανθεκτικότητα, αλλά και από τη διαθεσιμότητα κοινωνικών, θεσμικών και υλικών συνθηκών που επιτρέπουν την αποκατάσταση της ασφάλειας (</w:t>
      </w:r>
      <w:r>
        <w:t>Yule</w:t>
      </w:r>
      <w:r>
        <w:rPr>
          <w:lang w:val="el-GR"/>
        </w:rPr>
        <w:t xml:space="preserve"> </w:t>
      </w:r>
      <w:r>
        <w:t>et</w:t>
      </w:r>
      <w:r>
        <w:rPr>
          <w:lang w:val="el-GR"/>
        </w:rPr>
        <w:t xml:space="preserve"> </w:t>
      </w:r>
      <w:r>
        <w:t>al</w:t>
      </w:r>
      <w:r>
        <w:rPr>
          <w:lang w:val="el-GR"/>
        </w:rPr>
        <w:t>., 2019).</w:t>
      </w:r>
    </w:p>
    <w:p w14:paraId="2C3DAC4C" w14:textId="77777777" w:rsidR="00E63D5B" w:rsidRPr="00132066" w:rsidRDefault="001F059D">
      <w:pPr>
        <w:pStyle w:val="20"/>
        <w:rPr>
          <w:lang w:val="el-GR"/>
        </w:rPr>
      </w:pPr>
      <w:bookmarkStart w:id="16" w:name="_Toc242134421"/>
      <w:r>
        <w:rPr>
          <w:lang w:val="el-GR"/>
        </w:rPr>
        <w:t xml:space="preserve">2.9 </w:t>
      </w:r>
      <w:proofErr w:type="spellStart"/>
      <w:r>
        <w:rPr>
          <w:lang w:val="el-GR"/>
        </w:rPr>
        <w:t>Μετατραυματική</w:t>
      </w:r>
      <w:proofErr w:type="spellEnd"/>
      <w:r>
        <w:rPr>
          <w:lang w:val="el-GR"/>
        </w:rPr>
        <w:t xml:space="preserve"> ανάπτυξη σε επιζώσες ενδοοικογενειακής βίας</w:t>
      </w:r>
      <w:bookmarkEnd w:id="16"/>
    </w:p>
    <w:p w14:paraId="5507B70D" w14:textId="766C02B5" w:rsidR="00E63D5B" w:rsidRPr="00132066" w:rsidRDefault="001F059D">
      <w:pPr>
        <w:rPr>
          <w:lang w:val="el-GR"/>
        </w:rPr>
      </w:pPr>
      <w:r>
        <w:rPr>
          <w:lang w:val="el-GR"/>
        </w:rPr>
        <w:t xml:space="preserve">Η </w:t>
      </w:r>
      <w:proofErr w:type="spellStart"/>
      <w:r>
        <w:rPr>
          <w:lang w:val="el-GR"/>
        </w:rPr>
        <w:t>μετατραυματική</w:t>
      </w:r>
      <w:proofErr w:type="spellEnd"/>
      <w:r>
        <w:rPr>
          <w:lang w:val="el-GR"/>
        </w:rPr>
        <w:t xml:space="preserve"> ανάπτυξη (</w:t>
      </w:r>
      <w:r>
        <w:t>posttraumatic</w:t>
      </w:r>
      <w:r>
        <w:rPr>
          <w:lang w:val="el-GR"/>
        </w:rPr>
        <w:t xml:space="preserve"> </w:t>
      </w:r>
      <w:r>
        <w:t>growth</w:t>
      </w:r>
      <w:r>
        <w:rPr>
          <w:lang w:val="el-GR"/>
        </w:rPr>
        <w:t xml:space="preserve">) αναφέρεται στις θετικές ψυχολογικές αλλαγές που μπορεί να προκύψουν ως αποτέλεσμα της προσπάθειας ενός ατόμου να διαχειριστεί ιδιαίτερα </w:t>
      </w:r>
      <w:proofErr w:type="spellStart"/>
      <w:r>
        <w:rPr>
          <w:lang w:val="el-GR"/>
        </w:rPr>
        <w:t>στρεσογόνες</w:t>
      </w:r>
      <w:proofErr w:type="spellEnd"/>
      <w:r>
        <w:rPr>
          <w:lang w:val="el-GR"/>
        </w:rPr>
        <w:t xml:space="preserve"> ή τραυματικές εμπειρίες ζωής (</w:t>
      </w:r>
      <w:r>
        <w:t>Tedeschi</w:t>
      </w:r>
      <w:r>
        <w:rPr>
          <w:lang w:val="el-GR"/>
        </w:rPr>
        <w:t xml:space="preserve"> &amp; </w:t>
      </w:r>
      <w:r>
        <w:t>Calhoun</w:t>
      </w:r>
      <w:r>
        <w:rPr>
          <w:lang w:val="el-GR"/>
        </w:rPr>
        <w:t xml:space="preserve">, 1996, 2004). Σε αντίθεση με την ανάρρωση ή την ανθεκτικότητα, η </w:t>
      </w:r>
      <w:proofErr w:type="spellStart"/>
      <w:r>
        <w:rPr>
          <w:lang w:val="el-GR"/>
        </w:rPr>
        <w:t>μετατραυματική</w:t>
      </w:r>
      <w:proofErr w:type="spellEnd"/>
      <w:r>
        <w:rPr>
          <w:lang w:val="el-GR"/>
        </w:rPr>
        <w:t xml:space="preserve"> ανάπτυξη δεν περιγράφει απλώς την επιστροφή στην προηγούμενη κατάσταση λειτουργικότητας, αλλά μια βαθύτερη αναδόμηση του τρόπου με τον οποίο το άτομο αντιλαμβάνεται τον εαυτό του, τις σχέσεις του και τον κόσμο γύρω του (</w:t>
      </w:r>
      <w:r>
        <w:t>Calhoun</w:t>
      </w:r>
      <w:r>
        <w:rPr>
          <w:lang w:val="el-GR"/>
        </w:rPr>
        <w:t xml:space="preserve"> &amp; </w:t>
      </w:r>
      <w:r>
        <w:t>Tedeschi</w:t>
      </w:r>
      <w:r>
        <w:rPr>
          <w:lang w:val="el-GR"/>
        </w:rPr>
        <w:t>, 2014·</w:t>
      </w:r>
      <w:r>
        <w:t>Joseph</w:t>
      </w:r>
      <w:r>
        <w:rPr>
          <w:lang w:val="el-GR"/>
        </w:rPr>
        <w:t xml:space="preserve"> &amp; </w:t>
      </w:r>
      <w:r>
        <w:t>Linley</w:t>
      </w:r>
      <w:r>
        <w:rPr>
          <w:lang w:val="el-GR"/>
        </w:rPr>
        <w:t>, 2005).</w:t>
      </w:r>
    </w:p>
    <w:p w14:paraId="24064697" w14:textId="77777777" w:rsidR="00E63D5B" w:rsidRPr="00132066" w:rsidRDefault="001F059D">
      <w:pPr>
        <w:rPr>
          <w:lang w:val="el-GR"/>
        </w:rPr>
      </w:pPr>
      <w:r>
        <w:rPr>
          <w:lang w:val="el-GR"/>
        </w:rPr>
        <w:t xml:space="preserve">Σύμφωνα με το θεωρητικό μοντέλο των </w:t>
      </w:r>
      <w:r>
        <w:t>Tedeschi</w:t>
      </w:r>
      <w:r>
        <w:rPr>
          <w:lang w:val="el-GR"/>
        </w:rPr>
        <w:t xml:space="preserve"> και </w:t>
      </w:r>
      <w:r>
        <w:t>Calhoun</w:t>
      </w:r>
      <w:r>
        <w:rPr>
          <w:lang w:val="el-GR"/>
        </w:rPr>
        <w:t xml:space="preserve"> (1996), η ανάπτυξη αυτή εκδηλώνεται σε πέντε βασικούς τομείς. Αυξημένη εκτίμηση της ζωής, αναγνώριση νέων δυνατοτήτων, ενίσχυση </w:t>
      </w:r>
      <w:r>
        <w:rPr>
          <w:lang w:val="el-GR"/>
        </w:rPr>
        <w:lastRenderedPageBreak/>
        <w:t>της προσωπικής δύναμης, βελτίωση των διαπροσωπικών σχέσεων και πνευματική ή υπαρξιακή αλλαγή. Η αναθεωρημένη εκδοχή του μοντέλου (</w:t>
      </w:r>
      <w:r>
        <w:t>Tedeschi</w:t>
      </w:r>
      <w:r>
        <w:rPr>
          <w:lang w:val="el-GR"/>
        </w:rPr>
        <w:t xml:space="preserve"> </w:t>
      </w:r>
      <w:r>
        <w:t>et</w:t>
      </w:r>
      <w:r>
        <w:rPr>
          <w:lang w:val="el-GR"/>
        </w:rPr>
        <w:t xml:space="preserve"> </w:t>
      </w:r>
      <w:r>
        <w:t>al</w:t>
      </w:r>
      <w:r>
        <w:rPr>
          <w:lang w:val="el-GR"/>
        </w:rPr>
        <w:t xml:space="preserve">., 2018) υπογραμμίζει ότι το τραυματικό γεγονός μπορεί να λειτουργήσει ως μια «σεισμική» εμπειρία που κλονίζει τις βασικές παραδοχές του ατόμου για τον εαυτό και τον κόσμο, δημιουργώντας τις προϋποθέσεις για μια διαδικασία αναδόμησης νοήματος. Η ενδοοικογενειακή βία αποτελεί ένα ιδιαίτερο πλαίσιο για τη μελέτη της </w:t>
      </w:r>
      <w:proofErr w:type="spellStart"/>
      <w:r>
        <w:rPr>
          <w:lang w:val="el-GR"/>
        </w:rPr>
        <w:t>μετατραυματικής</w:t>
      </w:r>
      <w:proofErr w:type="spellEnd"/>
      <w:r>
        <w:rPr>
          <w:lang w:val="el-GR"/>
        </w:rPr>
        <w:t xml:space="preserve"> ανάπτυξης. Σε αντίθεση με άλλα τραυματικά γεγονότα, όπως τα ατυχήματα ή οι φυσικές καταστροφές, η βία ασκείται από ένα πρόσωπο με το οποίο υπάρχει ή υπήρχε στενός συναισθηματικός δεσμός. Επιπλέον, πρόκειται συχνά για μια χρόνια και επαναλαμβανόμενη εμπειρία, η οποία συνοδεύεται από δυναμικές ελέγχου, εξάρτησης και απομόνωσης. Οι ιδιαιτερότητες αυτές καθιστούν τη διαδικασία προσαρμογής και </w:t>
      </w:r>
      <w:proofErr w:type="spellStart"/>
      <w:r>
        <w:rPr>
          <w:lang w:val="el-GR"/>
        </w:rPr>
        <w:t>νοηματοδότησης</w:t>
      </w:r>
      <w:proofErr w:type="spellEnd"/>
      <w:r>
        <w:rPr>
          <w:lang w:val="el-GR"/>
        </w:rPr>
        <w:t xml:space="preserve"> περισσότερο σύνθετη, αλλά ταυτόχρονα δημιουργούν ένα γόνιμο πεδίο για τη διερεύνηση της </w:t>
      </w:r>
      <w:proofErr w:type="spellStart"/>
      <w:r>
        <w:rPr>
          <w:lang w:val="el-GR"/>
        </w:rPr>
        <w:t>μετατραυματικής</w:t>
      </w:r>
      <w:proofErr w:type="spellEnd"/>
      <w:r>
        <w:rPr>
          <w:lang w:val="el-GR"/>
        </w:rPr>
        <w:t xml:space="preserve"> ανάπτυξης (</w:t>
      </w:r>
      <w:proofErr w:type="spellStart"/>
      <w:r>
        <w:t>Bakaityt</w:t>
      </w:r>
      <w:proofErr w:type="spellEnd"/>
      <w:r>
        <w:rPr>
          <w:lang w:val="el-GR"/>
        </w:rPr>
        <w:t xml:space="preserve">ė </w:t>
      </w:r>
      <w:r>
        <w:t>et</w:t>
      </w:r>
      <w:r>
        <w:rPr>
          <w:lang w:val="el-GR"/>
        </w:rPr>
        <w:t xml:space="preserve"> </w:t>
      </w:r>
      <w:r>
        <w:t>al</w:t>
      </w:r>
      <w:r>
        <w:rPr>
          <w:lang w:val="el-GR"/>
        </w:rPr>
        <w:t>., 2022).</w:t>
      </w:r>
    </w:p>
    <w:p w14:paraId="1FCED2AB" w14:textId="77777777" w:rsidR="00E63D5B" w:rsidRPr="00132066" w:rsidRDefault="001F059D">
      <w:pPr>
        <w:pStyle w:val="3"/>
        <w:rPr>
          <w:lang w:val="el-GR"/>
        </w:rPr>
      </w:pPr>
      <w:r>
        <w:rPr>
          <w:lang w:val="el-GR"/>
        </w:rPr>
        <w:t>Έκταση και διαστάσεις</w:t>
      </w:r>
    </w:p>
    <w:p w14:paraId="5C74AC5B" w14:textId="77777777" w:rsidR="00E63D5B" w:rsidRPr="00132066" w:rsidRDefault="001F059D">
      <w:pPr>
        <w:rPr>
          <w:lang w:val="el-GR"/>
        </w:rPr>
      </w:pPr>
      <w:r>
        <w:rPr>
          <w:lang w:val="el-GR"/>
        </w:rPr>
        <w:t>Παρά τη σοβαρότητα των συνεπειών της ενδοοικογενειακής βίας, ένας αυξανόμενος αριθμός ερευνών δείχνει ότι πολλές επιζώσες αναφέρουν θετικές αλλαγές στη ζωή τους μετά την εμπειρία της κακοποίησης. Οι αλλαγές αυτές δεν συνεπάγονται απουσία ψυχολογικής δυσφορίας ούτε αναιρούν τις τραυματικές επιπτώσεις της βίας. Αντίθετα, φαίνεται ότι η ανάπτυξη και η δυσφορία μπορούν να συνυπάρχουν κατά τη διάρκεια της διαδικασίας ανάρρωσης.</w:t>
      </w:r>
    </w:p>
    <w:p w14:paraId="03050EC8" w14:textId="77777777" w:rsidR="00E63D5B" w:rsidRPr="00132066" w:rsidRDefault="001F059D">
      <w:pPr>
        <w:rPr>
          <w:lang w:val="el-GR"/>
        </w:rPr>
      </w:pPr>
      <w:r>
        <w:rPr>
          <w:lang w:val="el-GR"/>
        </w:rPr>
        <w:t xml:space="preserve">Σε μία από τις πρώτες ποσοτικές μελέτες, οι </w:t>
      </w:r>
      <w:r>
        <w:t>Cobb</w:t>
      </w:r>
      <w:r>
        <w:rPr>
          <w:lang w:val="el-GR"/>
        </w:rPr>
        <w:t xml:space="preserve"> και συν. (2006) βρήκαν ότι τα δύο τρίτα περίπου των γυναικών σε ξενώνες ανέφεραν τουλάχιστον μέτριου βαθμού θετικές αλλαγές, με μέσους όρους υψηλότερους από επιζώσες καρκίνου του μαστού και θύματα βίαιων εγκλημάτων. Η συστηματική ανασκόπηση των </w:t>
      </w:r>
      <w:r>
        <w:t>Elderton</w:t>
      </w:r>
      <w:r>
        <w:rPr>
          <w:lang w:val="el-GR"/>
        </w:rPr>
        <w:t xml:space="preserve"> και συν. (2017) κατέγραψε μέσο ποσοστό </w:t>
      </w:r>
      <w:proofErr w:type="spellStart"/>
      <w:r>
        <w:rPr>
          <w:lang w:val="el-GR"/>
        </w:rPr>
        <w:t>μετατραυματικής</w:t>
      </w:r>
      <w:proofErr w:type="spellEnd"/>
      <w:r>
        <w:rPr>
          <w:lang w:val="el-GR"/>
        </w:rPr>
        <w:t xml:space="preserve"> ανάπτυξης περίπου 71%, με μεγάλη διακύμανση (58–99%) ανάλογα με τα δείγματα και τις μεθόδους, ενώ οι </w:t>
      </w:r>
      <w:r>
        <w:t>Claeson</w:t>
      </w:r>
      <w:r>
        <w:rPr>
          <w:lang w:val="el-GR"/>
        </w:rPr>
        <w:t xml:space="preserve"> και συν. (2025) διαπίστωσαν ανάπτυξη σε επτά στις δέκα Σουηδές επιζώσες, υψηλότερη σε όσες είχαν λάβει τυπική υποστήριξη. Η ανάπτυξη δεν εκδηλώνεται ομοιόμορφα: η ανάλυση λανθανόντων προφίλ των </w:t>
      </w:r>
      <w:proofErr w:type="spellStart"/>
      <w:r>
        <w:t>Bakaityt</w:t>
      </w:r>
      <w:proofErr w:type="spellEnd"/>
      <w:r>
        <w:rPr>
          <w:lang w:val="el-GR"/>
        </w:rPr>
        <w:t>ė και συν. (2022) ανέδειξε διαδρομές που κυμαίνονται από την κυρίαρχη θετική ανάπτυξη έως την ανάπτυξη που συνυπάρχει με σημαντική δυσφορία. Η συχνότερα αναφερόμενη διάσταση είναι η αυξημένη εκτίμηση της ζωής, ακολουθούμενη από την προσωπική δύναμη, τις βελτιωμένες σχέσεις και την αναγνώριση νέων δυνατοτήτων.</w:t>
      </w:r>
    </w:p>
    <w:p w14:paraId="7414BB76" w14:textId="77777777" w:rsidR="00E63D5B" w:rsidRPr="00132066" w:rsidRDefault="001F059D">
      <w:pPr>
        <w:pStyle w:val="3"/>
        <w:rPr>
          <w:lang w:val="el-GR"/>
        </w:rPr>
      </w:pPr>
      <w:r>
        <w:rPr>
          <w:lang w:val="el-GR"/>
        </w:rPr>
        <w:t>Θεωρητικοί μηχανισμοί</w:t>
      </w:r>
    </w:p>
    <w:p w14:paraId="5A688F89" w14:textId="77777777" w:rsidR="00E63D5B" w:rsidRPr="00132066" w:rsidRDefault="001F059D">
      <w:pPr>
        <w:rPr>
          <w:lang w:val="el-GR"/>
        </w:rPr>
      </w:pPr>
      <w:r>
        <w:rPr>
          <w:lang w:val="el-GR"/>
        </w:rPr>
        <w:t xml:space="preserve">Το θεωρητικό μοντέλο των </w:t>
      </w:r>
      <w:r>
        <w:t>Tedeschi</w:t>
      </w:r>
      <w:r>
        <w:rPr>
          <w:lang w:val="el-GR"/>
        </w:rPr>
        <w:t xml:space="preserve"> και </w:t>
      </w:r>
      <w:r>
        <w:t>Calhoun</w:t>
      </w:r>
      <w:r>
        <w:rPr>
          <w:lang w:val="el-GR"/>
        </w:rPr>
        <w:t xml:space="preserve"> (1996) αποτελεί το κυρίαρχο πλαίσιο κατανόησης της </w:t>
      </w:r>
      <w:proofErr w:type="spellStart"/>
      <w:r>
        <w:rPr>
          <w:lang w:val="el-GR"/>
        </w:rPr>
        <w:t>μετατραυματικής</w:t>
      </w:r>
      <w:proofErr w:type="spellEnd"/>
      <w:r>
        <w:rPr>
          <w:lang w:val="el-GR"/>
        </w:rPr>
        <w:t xml:space="preserve"> ανάπτυξης. Σύμφωνα με το μοντέλο αυτό, τα τραυματικά γεγονότα διαταράσσουν τις θεμελιώδεις πεποιθήσεις του ατόμου σχετικά με την ασφάλεια, τη δικαιοσύνη, τον έλεγχο και την </w:t>
      </w:r>
      <w:proofErr w:type="spellStart"/>
      <w:r>
        <w:rPr>
          <w:lang w:val="el-GR"/>
        </w:rPr>
        <w:t>προβλεψιμότητα</w:t>
      </w:r>
      <w:proofErr w:type="spellEnd"/>
      <w:r>
        <w:rPr>
          <w:lang w:val="el-GR"/>
        </w:rPr>
        <w:t xml:space="preserve"> του κόσμου. Η διάρρηξη αυτού του «</w:t>
      </w:r>
      <w:proofErr w:type="spellStart"/>
      <w:r>
        <w:rPr>
          <w:lang w:val="el-GR"/>
        </w:rPr>
        <w:t>αξιακού</w:t>
      </w:r>
      <w:proofErr w:type="spellEnd"/>
      <w:r>
        <w:rPr>
          <w:lang w:val="el-GR"/>
        </w:rPr>
        <w:t xml:space="preserve"> κόσμου» (</w:t>
      </w:r>
      <w:r>
        <w:t>assumptive</w:t>
      </w:r>
      <w:r>
        <w:rPr>
          <w:lang w:val="el-GR"/>
        </w:rPr>
        <w:t xml:space="preserve"> </w:t>
      </w:r>
      <w:r>
        <w:t>world</w:t>
      </w:r>
      <w:r>
        <w:rPr>
          <w:lang w:val="el-GR"/>
        </w:rPr>
        <w:t>) προκαλεί μια περίοδο έντονης γνωστικής και συναισθηματικής επεξεργασίας, κατά την οποία το άτομο προσπαθεί να ενσωματώσει την εμπειρία στο προσωπικό του αφήγημα.</w:t>
      </w:r>
    </w:p>
    <w:p w14:paraId="78575A4D" w14:textId="77777777" w:rsidR="00E63D5B" w:rsidRPr="00132066" w:rsidRDefault="001F059D">
      <w:pPr>
        <w:rPr>
          <w:lang w:val="el-GR"/>
        </w:rPr>
      </w:pPr>
      <w:r>
        <w:rPr>
          <w:lang w:val="el-GR"/>
        </w:rPr>
        <w:t>Κεντρικό ρόλο στη διαδικασία παίζει ο μηρυκασμός (</w:t>
      </w:r>
      <w:proofErr w:type="spellStart"/>
      <w:r>
        <w:rPr>
          <w:lang w:val="el-GR"/>
        </w:rPr>
        <w:t>rumination</w:t>
      </w:r>
      <w:proofErr w:type="spellEnd"/>
      <w:r>
        <w:rPr>
          <w:lang w:val="el-GR"/>
        </w:rPr>
        <w:t xml:space="preserve">), δηλαδή η επαναλαμβανόμενη ενασχόληση της σκέψης με το τραυματικό γεγονός και τις συνέπειές του: αρχικά ακούσιος και </w:t>
      </w:r>
      <w:proofErr w:type="spellStart"/>
      <w:r>
        <w:rPr>
          <w:lang w:val="el-GR"/>
        </w:rPr>
        <w:t>εισβλητικός</w:t>
      </w:r>
      <w:proofErr w:type="spellEnd"/>
      <w:r>
        <w:rPr>
          <w:lang w:val="el-GR"/>
        </w:rPr>
        <w:t xml:space="preserve">, συνδεδεμένος με τη δυσφορία, μπορεί με τον χρόνο να γίνει σκόπιμος και </w:t>
      </w:r>
      <w:proofErr w:type="spellStart"/>
      <w:r>
        <w:rPr>
          <w:lang w:val="el-GR"/>
        </w:rPr>
        <w:t>αναστοχαστικός</w:t>
      </w:r>
      <w:proofErr w:type="spellEnd"/>
      <w:r>
        <w:rPr>
          <w:lang w:val="el-GR"/>
        </w:rPr>
        <w:t>, επιτρέποντας την αναζήτηση νέου νοήματος. Η αναθεωρημένη εκδοχή του μοντέλου (</w:t>
      </w:r>
      <w:r>
        <w:t>Tedeschi</w:t>
      </w:r>
      <w:r>
        <w:rPr>
          <w:lang w:val="el-GR"/>
        </w:rPr>
        <w:t xml:space="preserve"> </w:t>
      </w:r>
      <w:r>
        <w:t>et</w:t>
      </w:r>
      <w:r>
        <w:rPr>
          <w:lang w:val="el-GR"/>
        </w:rPr>
        <w:t xml:space="preserve"> </w:t>
      </w:r>
      <w:r>
        <w:t>al</w:t>
      </w:r>
      <w:r>
        <w:rPr>
          <w:lang w:val="el-GR"/>
        </w:rPr>
        <w:t xml:space="preserve">., 2018) δίνει μεγαλύτερη έμφαση στο κοινωνικό περιβάλλον, το οποίο διευκολύνει την αφήγηση, την αναγνώριση και την </w:t>
      </w:r>
      <w:proofErr w:type="spellStart"/>
      <w:r>
        <w:rPr>
          <w:lang w:val="el-GR"/>
        </w:rPr>
        <w:t>επανανοηματοδότηση</w:t>
      </w:r>
      <w:proofErr w:type="spellEnd"/>
      <w:r>
        <w:rPr>
          <w:lang w:val="el-GR"/>
        </w:rPr>
        <w:t xml:space="preserve"> της εμπειρίας. Στις </w:t>
      </w:r>
      <w:r>
        <w:rPr>
          <w:lang w:val="el-GR"/>
        </w:rPr>
        <w:lastRenderedPageBreak/>
        <w:t xml:space="preserve">επιζώσες συντροφικής βίας, οι </w:t>
      </w:r>
      <w:r>
        <w:t>Valdez</w:t>
      </w:r>
      <w:r>
        <w:rPr>
          <w:lang w:val="el-GR"/>
        </w:rPr>
        <w:t xml:space="preserve"> και </w:t>
      </w:r>
      <w:r>
        <w:t>Lilly</w:t>
      </w:r>
      <w:r>
        <w:rPr>
          <w:lang w:val="el-GR"/>
        </w:rPr>
        <w:t xml:space="preserve"> (2015) βρήκαν ότι η θετική αναδόμηση των βασικών πεποιθήσεων συνδεόταν με υψηλότερη ανάπτυξη, αλλά μόνο σε γυναίκες που δεν είχαν υποστεί </w:t>
      </w:r>
      <w:proofErr w:type="spellStart"/>
      <w:r>
        <w:rPr>
          <w:lang w:val="el-GR"/>
        </w:rPr>
        <w:t>επαναθυματοποίηση</w:t>
      </w:r>
      <w:proofErr w:type="spellEnd"/>
      <w:r>
        <w:rPr>
          <w:lang w:val="el-GR"/>
        </w:rPr>
        <w:t>.</w:t>
      </w:r>
    </w:p>
    <w:p w14:paraId="4A302C84" w14:textId="77777777" w:rsidR="00E63D5B" w:rsidRPr="00132066" w:rsidRDefault="001F059D">
      <w:pPr>
        <w:rPr>
          <w:lang w:val="el-GR"/>
        </w:rPr>
      </w:pPr>
      <w:r>
        <w:rPr>
          <w:lang w:val="el-GR"/>
        </w:rPr>
        <w:t xml:space="preserve">Αρκετές έρευνες συνδέουν την ανάπτυξη με την ανακατασκευή της ταυτότητας. Οι </w:t>
      </w:r>
      <w:proofErr w:type="spellStart"/>
      <w:r>
        <w:t>Bryngeirsdottir</w:t>
      </w:r>
      <w:proofErr w:type="spellEnd"/>
      <w:r>
        <w:rPr>
          <w:lang w:val="el-GR"/>
        </w:rPr>
        <w:t xml:space="preserve"> και </w:t>
      </w:r>
      <w:r>
        <w:t>Halldorsdottir</w:t>
      </w:r>
      <w:r>
        <w:rPr>
          <w:lang w:val="el-GR"/>
        </w:rPr>
        <w:t xml:space="preserve"> (2022</w:t>
      </w:r>
      <w:r>
        <w:t>a</w:t>
      </w:r>
      <w:r>
        <w:rPr>
          <w:lang w:val="el-GR"/>
        </w:rPr>
        <w:t>, 2022</w:t>
      </w:r>
      <w:r>
        <w:t>b</w:t>
      </w:r>
      <w:r>
        <w:rPr>
          <w:lang w:val="el-GR"/>
        </w:rPr>
        <w:t xml:space="preserve">) την περιέγραψαν ως «ταξίδι» από την ταυτότητα του θύματος στην ταυτότητα της επιζώσας («Είμαι νικήτρια, όχι θύμα»), εντοπίζοντας παράλληλα ανασταλτικούς παράγοντες όπως η χαμηλή αυτοεκτίμηση, τα επίμονα συμπτώματα, οι οικονομικές δυσκολίες, οι θεσμικοί φραγμοί και η συνεχιζόμενη παρουσία του δράστη. Οι </w:t>
      </w:r>
      <w:r>
        <w:t>D</w:t>
      </w:r>
      <w:r>
        <w:rPr>
          <w:lang w:val="el-GR"/>
        </w:rPr>
        <w:t>’</w:t>
      </w:r>
      <w:r>
        <w:t>Amore</w:t>
      </w:r>
      <w:r>
        <w:rPr>
          <w:lang w:val="el-GR"/>
        </w:rPr>
        <w:t xml:space="preserve"> και συν. (2021) περιέγραψαν τρία </w:t>
      </w:r>
      <w:proofErr w:type="spellStart"/>
      <w:r>
        <w:rPr>
          <w:lang w:val="el-GR"/>
        </w:rPr>
        <w:t>αλληλοεπικαλυπτόμενα</w:t>
      </w:r>
      <w:proofErr w:type="spellEnd"/>
      <w:r>
        <w:rPr>
          <w:lang w:val="el-GR"/>
        </w:rPr>
        <w:t xml:space="preserve"> στάδια, την επίγνωση, την ανανέωση και τη μεταμόρφωση, με συχνή κατάληξη την επιθυμία να βοηθήσουν άλλες γυναίκες. Η ενδυνάμωση διατρέχει το σύνολο της βιβλιογραφίας: οι </w:t>
      </w:r>
      <w:r>
        <w:t>Haythornthwaite</w:t>
      </w:r>
      <w:r>
        <w:rPr>
          <w:lang w:val="el-GR"/>
        </w:rPr>
        <w:t xml:space="preserve"> και συν. (2026) μίλησαν για «ταξίδι προς την ενδυνάμωση», με την οικονομική ανεξαρτησία, τη δυνατότητα αποφάσεων χωρίς φόβο και την ανακάλυψη ενός πιο αυθεντικού εαυτού ως κομβικά σημεία. Τέλος, η κεντρικότητα του γεγονότος, δηλαδή ο βαθμός στον οποίο η βία γίνεται κεντρικό στοιχείο της αυτοβιογραφικής αφήγησης, συνδέεται με υψηλότερη ανάπτυξη με την πάροδο του χρόνου, μέσω της μετάβασης από τον </w:t>
      </w:r>
      <w:proofErr w:type="spellStart"/>
      <w:r>
        <w:rPr>
          <w:lang w:val="el-GR"/>
        </w:rPr>
        <w:t>εισβλητικό</w:t>
      </w:r>
      <w:proofErr w:type="spellEnd"/>
      <w:r>
        <w:rPr>
          <w:lang w:val="el-GR"/>
        </w:rPr>
        <w:t xml:space="preserve"> στον </w:t>
      </w:r>
      <w:proofErr w:type="spellStart"/>
      <w:r>
        <w:rPr>
          <w:lang w:val="el-GR"/>
        </w:rPr>
        <w:t>αναστοχαστικό</w:t>
      </w:r>
      <w:proofErr w:type="spellEnd"/>
      <w:r>
        <w:rPr>
          <w:lang w:val="el-GR"/>
        </w:rPr>
        <w:t xml:space="preserve"> μηρυκασμό (</w:t>
      </w:r>
      <w:proofErr w:type="spellStart"/>
      <w:r>
        <w:t>Bakaityt</w:t>
      </w:r>
      <w:proofErr w:type="spellEnd"/>
      <w:r>
        <w:rPr>
          <w:lang w:val="el-GR"/>
        </w:rPr>
        <w:t xml:space="preserve">ė </w:t>
      </w:r>
      <w:r>
        <w:t>et</w:t>
      </w:r>
      <w:r>
        <w:rPr>
          <w:lang w:val="el-GR"/>
        </w:rPr>
        <w:t xml:space="preserve"> </w:t>
      </w:r>
      <w:r>
        <w:t>al</w:t>
      </w:r>
      <w:r>
        <w:rPr>
          <w:lang w:val="el-GR"/>
        </w:rPr>
        <w:t>., 2020, 2022).</w:t>
      </w:r>
    </w:p>
    <w:p w14:paraId="35289733" w14:textId="77777777" w:rsidR="00E63D5B" w:rsidRPr="00132066" w:rsidRDefault="001F059D">
      <w:pPr>
        <w:rPr>
          <w:lang w:val="el-GR"/>
        </w:rPr>
      </w:pPr>
      <w:r>
        <w:rPr>
          <w:lang w:val="el-GR"/>
        </w:rPr>
        <w:t xml:space="preserve">Συνολικά, τα θεωρητικά και εμπειρικά δεδομένα συγκλίνουν στην άποψη ότι η </w:t>
      </w:r>
      <w:proofErr w:type="spellStart"/>
      <w:r>
        <w:rPr>
          <w:lang w:val="el-GR"/>
        </w:rPr>
        <w:t>μετατραυματική</w:t>
      </w:r>
      <w:proofErr w:type="spellEnd"/>
      <w:r>
        <w:rPr>
          <w:lang w:val="el-GR"/>
        </w:rPr>
        <w:t xml:space="preserve"> ανάπτυξη μετά από ενδοοικογενειακή βία δεν αποτελεί απλή συνέπεια της απομάκρυνσης από την κακοποιητική σχέση. Αντίθετα, προκύπτει μέσα από μια σύνθετη διαδικασία γνωστικής επεξεργασίας, αναδόμησης των βασικών πεποιθήσεων και ανακατασκευής της προσωπικής ταυτότητας. Η διαδικασία αυτή φαίνεται να επηρεάζεται καθοριστικά από το κοινωνικό περιβάλλον και από τους πόρους που είναι διαθέσιμοι στις επιζώσες, γεγονός που οδηγεί στο επόμενο ερώτημα της βιβλιογραφίας. Ποιοι παράγοντες διευκολύνουν ή αναστέλλουν τη </w:t>
      </w:r>
      <w:proofErr w:type="spellStart"/>
      <w:r>
        <w:rPr>
          <w:lang w:val="el-GR"/>
        </w:rPr>
        <w:t>μετατραυματική</w:t>
      </w:r>
      <w:proofErr w:type="spellEnd"/>
      <w:r>
        <w:rPr>
          <w:lang w:val="el-GR"/>
        </w:rPr>
        <w:t xml:space="preserve"> ανάπτυξη μετά την ενδοοικογενειακή βία;</w:t>
      </w:r>
    </w:p>
    <w:p w14:paraId="713D51CC" w14:textId="77777777" w:rsidR="00E63D5B" w:rsidRPr="00132066" w:rsidRDefault="001F059D">
      <w:pPr>
        <w:pStyle w:val="3"/>
        <w:rPr>
          <w:lang w:val="el-GR"/>
        </w:rPr>
      </w:pPr>
      <w:r>
        <w:rPr>
          <w:lang w:val="el-GR"/>
        </w:rPr>
        <w:t>Παράγοντες που διευκολύνουν ή αναστέλλουν την ανάπτυξη</w:t>
      </w:r>
    </w:p>
    <w:p w14:paraId="5877E9E2" w14:textId="77777777" w:rsidR="00E63D5B" w:rsidRPr="00132066" w:rsidRDefault="001F059D">
      <w:pPr>
        <w:rPr>
          <w:lang w:val="el-GR"/>
        </w:rPr>
      </w:pPr>
      <w:r>
        <w:rPr>
          <w:lang w:val="el-GR"/>
        </w:rPr>
        <w:t xml:space="preserve">Η κοινωνική υποστήριξη αποτελεί τον πιο συνεπή και τεκμηριωμένο προγνωστικό παράγοντα της </w:t>
      </w:r>
      <w:proofErr w:type="spellStart"/>
      <w:r>
        <w:rPr>
          <w:lang w:val="el-GR"/>
        </w:rPr>
        <w:t>μετατραυματικής</w:t>
      </w:r>
      <w:proofErr w:type="spellEnd"/>
      <w:r>
        <w:rPr>
          <w:lang w:val="el-GR"/>
        </w:rPr>
        <w:t xml:space="preserve"> ανάπτυξης στις επιζώσες ενδοοικογενειακής βίας. Τόσο ποσοτικές όσο και ποιοτικές μελέτες συγκλίνουν στο συμπέρασμα ότι οι γυναίκες που αντιλαμβάνονται ότι διαθέτουν υποστηρικτικά κοινωνικά δίκτυα τείνουν να αναφέρουν υψηλότερα επίπεδα ανάπτυξης μετά την κακοποίηση.</w:t>
      </w:r>
    </w:p>
    <w:p w14:paraId="0B5456CD" w14:textId="77777777" w:rsidR="00E63D5B" w:rsidRPr="00132066" w:rsidRDefault="001F059D">
      <w:pPr>
        <w:rPr>
          <w:lang w:val="el-GR"/>
        </w:rPr>
      </w:pPr>
      <w:r>
        <w:rPr>
          <w:lang w:val="el-GR"/>
        </w:rPr>
        <w:t>Η υποστήριξη από σημαντικά πρόσωπα διευκολύνει τη γνωστική επεξεργασία, την αναζήτηση νοήματος και την ανακατασκευή της ταυτότητας. Η μελέτη των Ž</w:t>
      </w:r>
      <w:proofErr w:type="spellStart"/>
      <w:r>
        <w:t>ukauskien</w:t>
      </w:r>
      <w:proofErr w:type="spellEnd"/>
      <w:r>
        <w:rPr>
          <w:lang w:val="el-GR"/>
        </w:rPr>
        <w:t>ė και συν. (2021) έδειξε ότι η παρουσία θετικών σχέσεων είναι σημαντικότερη από την απλή απουσία αρνητικών. Η πρόσβαση σε υπηρεσίες συνδέεται επίσης με υψηλότερη ανάπτυξη, ανεξάρτητα από το είδος της βοήθειας (</w:t>
      </w:r>
      <w:r>
        <w:t>Claeson</w:t>
      </w:r>
      <w:r>
        <w:rPr>
          <w:lang w:val="el-GR"/>
        </w:rPr>
        <w:t xml:space="preserve"> </w:t>
      </w:r>
      <w:r>
        <w:t>et</w:t>
      </w:r>
      <w:r>
        <w:rPr>
          <w:lang w:val="el-GR"/>
        </w:rPr>
        <w:t xml:space="preserve"> </w:t>
      </w:r>
      <w:r>
        <w:t>al</w:t>
      </w:r>
      <w:r>
        <w:rPr>
          <w:lang w:val="el-GR"/>
        </w:rPr>
        <w:t xml:space="preserve">., 2025), ενώ οι </w:t>
      </w:r>
      <w:proofErr w:type="spellStart"/>
      <w:r>
        <w:rPr>
          <w:lang w:val="el-GR"/>
        </w:rPr>
        <w:t>μεταγνωστικές</w:t>
      </w:r>
      <w:proofErr w:type="spellEnd"/>
      <w:r>
        <w:rPr>
          <w:lang w:val="el-GR"/>
        </w:rPr>
        <w:t xml:space="preserve"> ικανότητες διαμεσολαβούν τη σχέση ψυχοπαθολογίας και ανάπτυξης (</w:t>
      </w:r>
      <w:r>
        <w:t>Procaccia</w:t>
      </w:r>
      <w:r>
        <w:rPr>
          <w:lang w:val="el-GR"/>
        </w:rPr>
        <w:t xml:space="preserve"> </w:t>
      </w:r>
      <w:r>
        <w:t>et</w:t>
      </w:r>
      <w:r>
        <w:rPr>
          <w:lang w:val="el-GR"/>
        </w:rPr>
        <w:t xml:space="preserve"> </w:t>
      </w:r>
      <w:r>
        <w:t>al</w:t>
      </w:r>
      <w:r>
        <w:rPr>
          <w:lang w:val="el-GR"/>
        </w:rPr>
        <w:t>., 2026). Η πνευματικότητα και οι θρησκευτικές πεποιθήσεις λειτουργούν ως πηγή νοήματος και ελπίδας, ιδίως σε πολιτισμικά ή κοινωνικά περιθωριοποιημένες ομάδες (</w:t>
      </w:r>
      <w:r>
        <w:t>Bloom</w:t>
      </w:r>
      <w:r>
        <w:rPr>
          <w:lang w:val="el-GR"/>
        </w:rPr>
        <w:t xml:space="preserve">, 2021), χωρίς η σχέση να είναι καθολική. Τα παιδιά αναφέρονται συχνά ως κινητήρια δύναμη: η συνειδητοποίηση των επιπτώσεων της βίας σε αυτά περιγράφεται ως το καθοριστικό σημείο της αποχώρησης, και η προστασία τους ως ταυτόχρονη </w:t>
      </w:r>
      <w:proofErr w:type="spellStart"/>
      <w:r>
        <w:rPr>
          <w:lang w:val="el-GR"/>
        </w:rPr>
        <w:t>επαναδιεκδίκηση</w:t>
      </w:r>
      <w:proofErr w:type="spellEnd"/>
      <w:r>
        <w:rPr>
          <w:lang w:val="el-GR"/>
        </w:rPr>
        <w:t xml:space="preserve"> της προσωπικής δύναμης (</w:t>
      </w:r>
      <w:r>
        <w:t>Brosi</w:t>
      </w:r>
      <w:r>
        <w:rPr>
          <w:lang w:val="el-GR"/>
        </w:rPr>
        <w:t xml:space="preserve"> </w:t>
      </w:r>
      <w:r>
        <w:t>et</w:t>
      </w:r>
      <w:r>
        <w:rPr>
          <w:lang w:val="el-GR"/>
        </w:rPr>
        <w:t xml:space="preserve"> </w:t>
      </w:r>
      <w:r>
        <w:t>al</w:t>
      </w:r>
      <w:r>
        <w:rPr>
          <w:lang w:val="el-GR"/>
        </w:rPr>
        <w:t>., 2020·</w:t>
      </w:r>
      <w:r>
        <w:t>D</w:t>
      </w:r>
      <w:r>
        <w:rPr>
          <w:lang w:val="el-GR"/>
        </w:rPr>
        <w:t>’</w:t>
      </w:r>
      <w:r>
        <w:t>Amore</w:t>
      </w:r>
      <w:r>
        <w:rPr>
          <w:lang w:val="el-GR"/>
        </w:rPr>
        <w:t xml:space="preserve"> </w:t>
      </w:r>
      <w:r>
        <w:t>et</w:t>
      </w:r>
      <w:r>
        <w:rPr>
          <w:lang w:val="el-GR"/>
        </w:rPr>
        <w:t xml:space="preserve"> </w:t>
      </w:r>
      <w:r>
        <w:t>al</w:t>
      </w:r>
      <w:r>
        <w:rPr>
          <w:lang w:val="el-GR"/>
        </w:rPr>
        <w:t>., 2021).</w:t>
      </w:r>
    </w:p>
    <w:p w14:paraId="3D92A5D4" w14:textId="77777777" w:rsidR="00E63D5B" w:rsidRPr="00132066" w:rsidRDefault="001F059D">
      <w:pPr>
        <w:rPr>
          <w:lang w:val="el-GR"/>
        </w:rPr>
      </w:pPr>
      <w:r>
        <w:rPr>
          <w:lang w:val="el-GR"/>
        </w:rPr>
        <w:t xml:space="preserve">Η </w:t>
      </w:r>
      <w:proofErr w:type="spellStart"/>
      <w:r>
        <w:rPr>
          <w:lang w:val="el-GR"/>
        </w:rPr>
        <w:t>μετατραυματική</w:t>
      </w:r>
      <w:proofErr w:type="spellEnd"/>
      <w:r>
        <w:rPr>
          <w:lang w:val="el-GR"/>
        </w:rPr>
        <w:t xml:space="preserve"> ανάπτυξη δεν εξαρτάται απλώς από την πάροδο του χρόνου, αλλά φαίνεται να διευκολύνεται όταν έχει περιοριστεί η απειλή και έχουν αποκατασταθεί συνθήκες ασφάλειας και </w:t>
      </w:r>
      <w:r>
        <w:rPr>
          <w:lang w:val="el-GR"/>
        </w:rPr>
        <w:lastRenderedPageBreak/>
        <w:t xml:space="preserve">υποστήριξης. Η συνέχιση της κακοποίησης ή ο κίνδυνος </w:t>
      </w:r>
      <w:proofErr w:type="spellStart"/>
      <w:r>
        <w:rPr>
          <w:lang w:val="el-GR"/>
        </w:rPr>
        <w:t>επαναθυματοποίησης</w:t>
      </w:r>
      <w:proofErr w:type="spellEnd"/>
      <w:r>
        <w:rPr>
          <w:lang w:val="el-GR"/>
        </w:rPr>
        <w:t xml:space="preserve"> μπορούν να διατηρούν την ψυχολογική δυσφορία και να περιορίζουν τη δυνατότητα επεξεργασίας της εμπειρίας (</w:t>
      </w:r>
      <w:r>
        <w:t>Machinga</w:t>
      </w:r>
      <w:r>
        <w:rPr>
          <w:lang w:val="el-GR"/>
        </w:rPr>
        <w:t>-</w:t>
      </w:r>
      <w:proofErr w:type="spellStart"/>
      <w:r>
        <w:t>Asaolu</w:t>
      </w:r>
      <w:proofErr w:type="spellEnd"/>
      <w:r>
        <w:rPr>
          <w:lang w:val="el-GR"/>
        </w:rPr>
        <w:t>, 2025).</w:t>
      </w:r>
    </w:p>
    <w:p w14:paraId="3DF08810" w14:textId="77777777" w:rsidR="00E63D5B" w:rsidRPr="00132066" w:rsidRDefault="001F059D">
      <w:pPr>
        <w:rPr>
          <w:lang w:val="el-GR"/>
        </w:rPr>
      </w:pPr>
      <w:r>
        <w:rPr>
          <w:lang w:val="el-GR"/>
        </w:rPr>
        <w:t>Η αποχώρηση δεν οδηγεί αυτόματα σε ανάπτυξη, αλλά δημιουργεί τον χώρο για τη μετακίνηση από την επιβίωση προς την αναζήτηση νοήματος, ενώ οι συνέπειες της βίας συχνά επιμένουν και μετά τον χωρισμό (</w:t>
      </w:r>
      <w:proofErr w:type="spellStart"/>
      <w:r>
        <w:t>Bryngeirsdottir</w:t>
      </w:r>
      <w:proofErr w:type="spellEnd"/>
      <w:r>
        <w:rPr>
          <w:lang w:val="el-GR"/>
        </w:rPr>
        <w:t xml:space="preserve"> &amp; </w:t>
      </w:r>
      <w:r>
        <w:t>Halldorsdottir</w:t>
      </w:r>
      <w:r>
        <w:rPr>
          <w:lang w:val="el-GR"/>
        </w:rPr>
        <w:t>, 2022</w:t>
      </w:r>
      <w:r>
        <w:t>a</w:t>
      </w:r>
      <w:r>
        <w:rPr>
          <w:lang w:val="el-GR"/>
        </w:rPr>
        <w:t>). Σε διαχρονική μελέτη 217 γυναικών, η ανάπτυξη αυξήθηκε σε διάστημα 18 μηνών κυρίως σε όσες είχαν βιώσει τη βία πιο πρόσφατα, εύρημα που υποδεικνύει ότι τα πρώτα δύο χρόνια μετά τη βία μπορεί να αποτελούν ιδιαίτερα κρίσιμη περίοδο.</w:t>
      </w:r>
    </w:p>
    <w:p w14:paraId="4FA0A3AE" w14:textId="77777777" w:rsidR="00E63D5B" w:rsidRPr="00132066" w:rsidRDefault="001F059D">
      <w:pPr>
        <w:rPr>
          <w:lang w:val="el-GR"/>
        </w:rPr>
      </w:pPr>
      <w:r>
        <w:rPr>
          <w:lang w:val="el-GR"/>
        </w:rPr>
        <w:t xml:space="preserve">Συνολικά, τα διαθέσιμα δεδομένα δείχνουν ότι ούτε η αποχώρηση ούτε η πάροδος του χρόνου επαρκούν από μόνες τους για την εμφάνιση </w:t>
      </w:r>
      <w:proofErr w:type="spellStart"/>
      <w:r>
        <w:rPr>
          <w:lang w:val="el-GR"/>
        </w:rPr>
        <w:t>μετατραυματικής</w:t>
      </w:r>
      <w:proofErr w:type="spellEnd"/>
      <w:r>
        <w:rPr>
          <w:lang w:val="el-GR"/>
        </w:rPr>
        <w:t xml:space="preserve"> ανάπτυξης. Καθοριστικότερη φαίνεται να είναι η δημιουργία ουσιαστικών συνθηκών ασφάλειας, υποστήριξης και δυνατότητας επεξεργασίας της τραυματικής εμπειρίας.</w:t>
      </w:r>
    </w:p>
    <w:p w14:paraId="60B42A31" w14:textId="77777777" w:rsidR="00E63D5B" w:rsidRPr="00132066" w:rsidRDefault="001F059D">
      <w:pPr>
        <w:pStyle w:val="3"/>
        <w:rPr>
          <w:lang w:val="el-GR"/>
        </w:rPr>
      </w:pPr>
      <w:r>
        <w:rPr>
          <w:lang w:val="el-GR"/>
        </w:rPr>
        <w:t>Μια συνεχιζόμενη, μη γραμμική και κοινωνικά τοποθετημένη διαδικασία</w:t>
      </w:r>
    </w:p>
    <w:p w14:paraId="7AC38DC9" w14:textId="77777777" w:rsidR="00E63D5B" w:rsidRPr="00132066" w:rsidRDefault="001F059D">
      <w:pPr>
        <w:rPr>
          <w:lang w:val="el-GR"/>
        </w:rPr>
      </w:pPr>
      <w:r>
        <w:t>H</w:t>
      </w:r>
      <w:r>
        <w:rPr>
          <w:lang w:val="el-GR"/>
        </w:rPr>
        <w:t xml:space="preserve"> </w:t>
      </w:r>
      <w:proofErr w:type="spellStart"/>
      <w:r>
        <w:rPr>
          <w:lang w:val="el-GR"/>
        </w:rPr>
        <w:t>μετατραυματική</w:t>
      </w:r>
      <w:proofErr w:type="spellEnd"/>
      <w:r>
        <w:rPr>
          <w:lang w:val="el-GR"/>
        </w:rPr>
        <w:t xml:space="preserve"> ανάπτυξη σπάνια βιώνεται ως μια οριστική ή πλήρως ολοκληρωμένη κατάσταση (</w:t>
      </w:r>
      <w:proofErr w:type="spellStart"/>
      <w:r>
        <w:t>Bryngeirsdottir</w:t>
      </w:r>
      <w:proofErr w:type="spellEnd"/>
      <w:r>
        <w:rPr>
          <w:lang w:val="el-GR"/>
        </w:rPr>
        <w:t xml:space="preserve"> &amp; </w:t>
      </w:r>
      <w:r>
        <w:t>Halldorsdottir</w:t>
      </w:r>
      <w:r>
        <w:rPr>
          <w:lang w:val="el-GR"/>
        </w:rPr>
        <w:t>, 2022</w:t>
      </w:r>
      <w:r>
        <w:t>a</w:t>
      </w:r>
      <w:r>
        <w:rPr>
          <w:lang w:val="el-GR"/>
        </w:rPr>
        <w:t xml:space="preserve">). Αντίθετα, οι επιζώσες περιγράφουν μια συνεχή διαδικασία που περιλαμβάνει περιόδους προόδου αλλά και υποτροπών, αμφιβολιών και συναισθηματικών δυσκολιών. Η οπτική αυτή θέτει όρια στην αντιμετώπιση της </w:t>
      </w:r>
      <w:proofErr w:type="spellStart"/>
      <w:r>
        <w:rPr>
          <w:lang w:val="el-GR"/>
        </w:rPr>
        <w:t>μετατραυματικής</w:t>
      </w:r>
      <w:proofErr w:type="spellEnd"/>
      <w:r>
        <w:rPr>
          <w:lang w:val="el-GR"/>
        </w:rPr>
        <w:t xml:space="preserve"> ανάπτυξης αποκλειστικά ως μιας έκβασης που αποτυπώνεται σε μία χρονική στιγμή. Τα ποσοτικά εργαλεία παρέχουν σημαντικές πληροφορίες για τις θετικές αλλαγές που αντιλαμβάνονται οι επιζώσες, αλλά ενδέχεται να μην αποδίδουν πλήρως τις διακυμάνσεις, τις αντιφάσεις και το κοινωνικό πλαίσιο της διαδικασίας (</w:t>
      </w:r>
      <w:proofErr w:type="spellStart"/>
      <w:r>
        <w:t>Jozefiakov</w:t>
      </w:r>
      <w:proofErr w:type="spellEnd"/>
      <w:r>
        <w:rPr>
          <w:lang w:val="el-GR"/>
        </w:rPr>
        <w:t xml:space="preserve">á </w:t>
      </w:r>
      <w:r>
        <w:t>et</w:t>
      </w:r>
      <w:r>
        <w:rPr>
          <w:lang w:val="el-GR"/>
        </w:rPr>
        <w:t xml:space="preserve"> </w:t>
      </w:r>
      <w:r>
        <w:t>al</w:t>
      </w:r>
      <w:r>
        <w:rPr>
          <w:lang w:val="el-GR"/>
        </w:rPr>
        <w:t xml:space="preserve">., 2022). Η </w:t>
      </w:r>
      <w:proofErr w:type="spellStart"/>
      <w:r>
        <w:rPr>
          <w:lang w:val="el-GR"/>
        </w:rPr>
        <w:t>μετατραυματική</w:t>
      </w:r>
      <w:proofErr w:type="spellEnd"/>
      <w:r>
        <w:rPr>
          <w:lang w:val="el-GR"/>
        </w:rPr>
        <w:t xml:space="preserve"> ανάπτυξη μπορεί να συνυπάρχει με συνεχιζόμενη δυσφορία, τραυματικές αναμνήσεις και αρνητικές αλλαγές· δεν αποτελεί, συνεπώς, το τελικό στάδιο της ανάρρωσης ούτε προϋποθέτει την πλήρη εξάλειψη των συνεπειών του τραύματος (</w:t>
      </w:r>
      <w:r>
        <w:t>Zi</w:t>
      </w:r>
      <w:r>
        <w:rPr>
          <w:lang w:val="el-GR"/>
        </w:rPr>
        <w:t>ę</w:t>
      </w:r>
      <w:proofErr w:type="spellStart"/>
      <w:r>
        <w:t>ba</w:t>
      </w:r>
      <w:proofErr w:type="spellEnd"/>
      <w:r>
        <w:rPr>
          <w:lang w:val="el-GR"/>
        </w:rPr>
        <w:t xml:space="preserve"> </w:t>
      </w:r>
      <w:r>
        <w:t>et</w:t>
      </w:r>
      <w:r>
        <w:rPr>
          <w:lang w:val="el-GR"/>
        </w:rPr>
        <w:t xml:space="preserve"> </w:t>
      </w:r>
      <w:r>
        <w:t>al</w:t>
      </w:r>
      <w:r>
        <w:rPr>
          <w:lang w:val="el-GR"/>
        </w:rPr>
        <w:t>., 2019).</w:t>
      </w:r>
    </w:p>
    <w:p w14:paraId="3B235F1E" w14:textId="77777777" w:rsidR="00E63D5B" w:rsidRPr="00132066" w:rsidRDefault="001F059D">
      <w:pPr>
        <w:rPr>
          <w:lang w:val="el-GR"/>
        </w:rPr>
      </w:pPr>
      <w:r>
        <w:rPr>
          <w:lang w:val="el-GR"/>
        </w:rPr>
        <w:t xml:space="preserve">Παράλληλα, η βιβλιογραφία έχει δεχθεί κριτική επειδή αντιμετωπίζει την ανάπτυξη ως οικουμενική ψυχολογική διεργασία, παραβλέποντας τις κοινωνικές και δομικές συνθήκες μέσα στις οποίες εκδηλώνεται. Η διαθεματική οπτική δείχνει ότι ορισμένες διαστάσεις της ανάπτυξης είναι σχετικά σταθερές μεταξύ πολιτισμών, όπως έδειξε η σύγκριση </w:t>
      </w:r>
      <w:proofErr w:type="spellStart"/>
      <w:r>
        <w:rPr>
          <w:lang w:val="el-GR"/>
        </w:rPr>
        <w:t>Μογγολέζων</w:t>
      </w:r>
      <w:proofErr w:type="spellEnd"/>
      <w:r>
        <w:rPr>
          <w:lang w:val="el-GR"/>
        </w:rPr>
        <w:t xml:space="preserve"> και Ουγγαρέζων επιζωσών (</w:t>
      </w:r>
      <w:r>
        <w:t>Amarsanaa</w:t>
      </w:r>
      <w:r>
        <w:rPr>
          <w:lang w:val="el-GR"/>
        </w:rPr>
        <w:t xml:space="preserve"> </w:t>
      </w:r>
      <w:r>
        <w:t>et</w:t>
      </w:r>
      <w:r>
        <w:rPr>
          <w:lang w:val="el-GR"/>
        </w:rPr>
        <w:t xml:space="preserve"> </w:t>
      </w:r>
      <w:r>
        <w:t>al</w:t>
      </w:r>
      <w:r>
        <w:rPr>
          <w:lang w:val="el-GR"/>
        </w:rPr>
        <w:t>., 2023), ενώ άλλες, όπως η έμφαση στην ασφάλεια ή στην πνευματικότητα, διαμορφώνονται από το πολιτισμικό περιβάλλον. Οι κοινωνικοοικονομικές συνθήκες είναι καθοριστικές: η οικονομική ανεξαρτησία, η ασφαλής στέγαση και η πρόσβαση σε υπηρεσίες διευκολύνουν την ανασυγκρότηση, ενώ η φτώχεια και η επισφάλεια την περιορίζουν (</w:t>
      </w:r>
      <w:proofErr w:type="spellStart"/>
      <w:r>
        <w:rPr>
          <w:lang w:val="el-GR"/>
        </w:rPr>
        <w:t>Mushonga</w:t>
      </w:r>
      <w:proofErr w:type="spellEnd"/>
      <w:r>
        <w:rPr>
          <w:lang w:val="el-GR"/>
        </w:rPr>
        <w:t xml:space="preserve"> </w:t>
      </w:r>
      <w:proofErr w:type="spellStart"/>
      <w:r>
        <w:rPr>
          <w:lang w:val="el-GR"/>
        </w:rPr>
        <w:t>et</w:t>
      </w:r>
      <w:proofErr w:type="spellEnd"/>
      <w:r>
        <w:rPr>
          <w:lang w:val="el-GR"/>
        </w:rPr>
        <w:t xml:space="preserve"> </w:t>
      </w:r>
      <w:proofErr w:type="spellStart"/>
      <w:r>
        <w:rPr>
          <w:lang w:val="el-GR"/>
        </w:rPr>
        <w:t>al</w:t>
      </w:r>
      <w:proofErr w:type="spellEnd"/>
      <w:r>
        <w:rPr>
          <w:lang w:val="el-GR"/>
        </w:rPr>
        <w:t xml:space="preserve">., 2021). Η </w:t>
      </w:r>
      <w:r>
        <w:t>Mahabir</w:t>
      </w:r>
      <w:r>
        <w:rPr>
          <w:lang w:val="el-GR"/>
        </w:rPr>
        <w:t xml:space="preserve"> (2026) μιλά για «εύθραυστη ανάπτυξη», θετικές αλλαγές που παραμένουν ασταθείς όσο λείπουν οι υλικές προϋποθέσεις. Για τις ΛΟΑΤΚΙΑ+ επιζώσες, η ανάπτυξη συνδέεται με διαδικασίες ενδυνάμωσης που περιλαμβάνουν και πιο αυθεντικές μορφές έμφυλης και σεξουαλικής ταυτότητας, με τις κοινότητες αποδοχής να λειτουργούν προστατευτικά (</w:t>
      </w:r>
      <w:r>
        <w:t>Counselman</w:t>
      </w:r>
      <w:r>
        <w:rPr>
          <w:lang w:val="el-GR"/>
        </w:rPr>
        <w:t>-</w:t>
      </w:r>
      <w:r>
        <w:t>Carpenter</w:t>
      </w:r>
      <w:r>
        <w:rPr>
          <w:lang w:val="el-GR"/>
        </w:rPr>
        <w:t xml:space="preserve"> &amp; </w:t>
      </w:r>
      <w:r>
        <w:t>Redcay</w:t>
      </w:r>
      <w:r>
        <w:rPr>
          <w:lang w:val="el-GR"/>
        </w:rPr>
        <w:t>, 2018).</w:t>
      </w:r>
    </w:p>
    <w:p w14:paraId="5704C88E" w14:textId="77777777" w:rsidR="00E63D5B" w:rsidRPr="00132066" w:rsidRDefault="001F059D">
      <w:pPr>
        <w:rPr>
          <w:lang w:val="el-GR"/>
        </w:rPr>
      </w:pPr>
      <w:r>
        <w:rPr>
          <w:lang w:val="el-GR"/>
        </w:rPr>
        <w:t xml:space="preserve">Οι παραπάνω διαπιστώσεις υποστηρίζουν μια σημαντική διεύρυνση της θεωρητικής κατανόησης της </w:t>
      </w:r>
      <w:proofErr w:type="spellStart"/>
      <w:r>
        <w:rPr>
          <w:lang w:val="el-GR"/>
        </w:rPr>
        <w:t>μετατραυματικής</w:t>
      </w:r>
      <w:proofErr w:type="spellEnd"/>
      <w:r>
        <w:rPr>
          <w:lang w:val="el-GR"/>
        </w:rPr>
        <w:t xml:space="preserve"> ανάπτυξης: από την αντιμετώπισή της ως κυρίως ατομικής ψυχολογικής διεργασίας προς μια </w:t>
      </w:r>
      <w:proofErr w:type="spellStart"/>
      <w:r>
        <w:rPr>
          <w:lang w:val="el-GR"/>
        </w:rPr>
        <w:t>κοινωνικο</w:t>
      </w:r>
      <w:proofErr w:type="spellEnd"/>
      <w:r>
        <w:rPr>
          <w:lang w:val="el-GR"/>
        </w:rPr>
        <w:t xml:space="preserve">-οικολογική προσέγγιση. Η ανάπτυξη μετά το τραύμα δεν εξαρτάται μόνο από τα προσωπικά χαρακτηριστικά και τις γνωστικές διεργασίες των επιζωσών, αλλά και από τις ευκαιρίες, τους περιορισμούς και τους πόρους του κοινωνικού τους περιβάλλοντος. Η σημασία της κοινωνικής υποστήριξης έχει τεκμηριωθεί </w:t>
      </w:r>
      <w:proofErr w:type="spellStart"/>
      <w:r>
        <w:rPr>
          <w:lang w:val="el-GR"/>
        </w:rPr>
        <w:t>μετα</w:t>
      </w:r>
      <w:proofErr w:type="spellEnd"/>
      <w:r>
        <w:rPr>
          <w:lang w:val="el-GR"/>
        </w:rPr>
        <w:t xml:space="preserve">-αναλυτικά, ενώ η ειδικότερη βιβλιογραφία για τη συντροφική βία </w:t>
      </w:r>
      <w:r>
        <w:rPr>
          <w:lang w:val="el-GR"/>
        </w:rPr>
        <w:lastRenderedPageBreak/>
        <w:t xml:space="preserve">αναδεικνύει την αλληλεπίδραση ατομικών, διαπροσωπικών και </w:t>
      </w:r>
      <w:proofErr w:type="spellStart"/>
      <w:r>
        <w:rPr>
          <w:lang w:val="el-GR"/>
        </w:rPr>
        <w:t>πλαισιακών</w:t>
      </w:r>
      <w:proofErr w:type="spellEnd"/>
      <w:r>
        <w:rPr>
          <w:lang w:val="el-GR"/>
        </w:rPr>
        <w:t xml:space="preserve"> παραγόντων (</w:t>
      </w:r>
      <w:r>
        <w:t>Machinga</w:t>
      </w:r>
      <w:r>
        <w:rPr>
          <w:lang w:val="el-GR"/>
        </w:rPr>
        <w:t>-</w:t>
      </w:r>
      <w:proofErr w:type="spellStart"/>
      <w:r>
        <w:t>Asaolu</w:t>
      </w:r>
      <w:proofErr w:type="spellEnd"/>
      <w:r>
        <w:rPr>
          <w:lang w:val="el-GR"/>
        </w:rPr>
        <w:t>, 2025).</w:t>
      </w:r>
    </w:p>
    <w:p w14:paraId="6D8ED470" w14:textId="28B0C640" w:rsidR="00E63D5B" w:rsidRPr="00132066" w:rsidRDefault="001F059D">
      <w:pPr>
        <w:rPr>
          <w:lang w:val="el-GR"/>
        </w:rPr>
      </w:pPr>
      <w:r>
        <w:rPr>
          <w:lang w:val="el-GR"/>
        </w:rPr>
        <w:t xml:space="preserve">Αντίθετα, οι κοινωνικές ανισότητες, οι διακρίσεις και οι δομικές μορφές αποκλεισμού μπορούν να περιορίσουν την πρόσβαση στους πόρους που απαιτούνται για την ανάρρωση και την ανάπτυξη. Απαιτείται, επομένως, μια διαθεματική και </w:t>
      </w:r>
      <w:proofErr w:type="spellStart"/>
      <w:r>
        <w:rPr>
          <w:lang w:val="el-GR"/>
        </w:rPr>
        <w:t>κοινωνικο</w:t>
      </w:r>
      <w:proofErr w:type="spellEnd"/>
      <w:r>
        <w:rPr>
          <w:lang w:val="el-GR"/>
        </w:rPr>
        <w:t>-οικολογική προσέγγιση, η οποία αναγνωρίζει ότι η ανάρρωση και ο μετασχηματισμός μετά τη βία δεν αποτελούν αποκλειστικά ατομικά επιτεύγματα, αλλά διαμορφώνονται μέσα σε συγκεκριμένες κοινωνικές, υλικές και πολιτισμικές συνθήκες (</w:t>
      </w:r>
      <w:r>
        <w:t>Crenshaw</w:t>
      </w:r>
      <w:r>
        <w:rPr>
          <w:lang w:val="el-GR"/>
        </w:rPr>
        <w:t>, 1991·</w:t>
      </w:r>
      <w:r>
        <w:t>Machinga</w:t>
      </w:r>
      <w:r>
        <w:rPr>
          <w:lang w:val="el-GR"/>
        </w:rPr>
        <w:t>-</w:t>
      </w:r>
      <w:proofErr w:type="spellStart"/>
      <w:r>
        <w:t>Asaolu</w:t>
      </w:r>
      <w:proofErr w:type="spellEnd"/>
      <w:r>
        <w:rPr>
          <w:lang w:val="el-GR"/>
        </w:rPr>
        <w:t>, 2025).</w:t>
      </w:r>
    </w:p>
    <w:p w14:paraId="1B78B943" w14:textId="77777777" w:rsidR="00E63D5B" w:rsidRPr="00132066" w:rsidRDefault="001F059D">
      <w:pPr>
        <w:pStyle w:val="1"/>
        <w:pageBreakBefore/>
        <w:rPr>
          <w:lang w:val="el-GR"/>
        </w:rPr>
      </w:pPr>
      <w:bookmarkStart w:id="17" w:name="_Toc242134422"/>
      <w:r>
        <w:rPr>
          <w:lang w:val="el-GR"/>
        </w:rPr>
        <w:lastRenderedPageBreak/>
        <w:t>3. Θεσμικό Πλαίσιο: Ελληνικό, Ευρωπαϊκό, Διεθνές</w:t>
      </w:r>
      <w:bookmarkEnd w:id="17"/>
    </w:p>
    <w:p w14:paraId="0167FA76" w14:textId="20B25FB1" w:rsidR="00E63D5B" w:rsidRPr="00132066" w:rsidRDefault="001F059D">
      <w:pPr>
        <w:rPr>
          <w:lang w:val="el-GR"/>
        </w:rPr>
      </w:pPr>
      <w:r>
        <w:rPr>
          <w:lang w:val="el-GR"/>
        </w:rPr>
        <w:t xml:space="preserve">Το </w:t>
      </w:r>
      <w:r w:rsidR="00B575E0">
        <w:rPr>
          <w:lang w:val="el-GR"/>
        </w:rPr>
        <w:t xml:space="preserve">Κεφάλαιο </w:t>
      </w:r>
      <w:r>
        <w:rPr>
          <w:lang w:val="el-GR"/>
        </w:rPr>
        <w:t>αυτό παρουσιάζει το θεσμικό πλαίσιο μέσα στο οποίο εντοπίζονται, παραπέμπονται, αξιολογούνται και προστατεύονται οι γυναίκες και τα παιδιά που βιώνουν ενδοοικογενειακή βία. Το πλαίσιο αυτό έχει διπλή σημασία για την έρευνα: καθόρισε τον τρόπο πρόσβασης στο δείγμα (μέσω των δομών του Δικτύου) και αποτελεί το πεδίο στο οποίο απευθύνονται οι προτάσεις της.</w:t>
      </w:r>
    </w:p>
    <w:p w14:paraId="0D004069" w14:textId="77777777" w:rsidR="00E63D5B" w:rsidRPr="00132066" w:rsidRDefault="001F059D">
      <w:pPr>
        <w:pStyle w:val="20"/>
        <w:rPr>
          <w:lang w:val="el-GR"/>
        </w:rPr>
      </w:pPr>
      <w:bookmarkStart w:id="18" w:name="_Toc242134423"/>
      <w:r>
        <w:rPr>
          <w:lang w:val="el-GR"/>
        </w:rPr>
        <w:t>3.1 Το ελληνικό θεσμικό πλαίσιο</w:t>
      </w:r>
      <w:bookmarkEnd w:id="18"/>
    </w:p>
    <w:p w14:paraId="5DB3B0D2" w14:textId="77777777" w:rsidR="00E63D5B" w:rsidRPr="00132066" w:rsidRDefault="001F059D">
      <w:pPr>
        <w:rPr>
          <w:lang w:val="el-GR"/>
        </w:rPr>
      </w:pPr>
      <w:r>
        <w:rPr>
          <w:lang w:val="el-GR"/>
        </w:rPr>
        <w:t xml:space="preserve">Το εθνικό πλαίσιο διαμορφώθηκε σταδιακά, υπό την επίδραση εθνικών, ευρωπαϊκών και διεθνών υποχρεώσεων, αλλά και βαθύτερων κοινωνικών παραγόντων που καθόριζαν αν η βία μέσα στην οικογένεια θεωρούνταν δημόσιο ή ιδιωτικό ζήτημα. Η </w:t>
      </w:r>
      <w:proofErr w:type="spellStart"/>
      <w:r>
        <w:rPr>
          <w:lang w:val="el-GR"/>
        </w:rPr>
        <w:t>υποκαταγγελία</w:t>
      </w:r>
      <w:proofErr w:type="spellEnd"/>
      <w:r>
        <w:rPr>
          <w:lang w:val="el-GR"/>
        </w:rPr>
        <w:t xml:space="preserve"> και η </w:t>
      </w:r>
      <w:proofErr w:type="spellStart"/>
      <w:r>
        <w:rPr>
          <w:lang w:val="el-GR"/>
        </w:rPr>
        <w:t>υποκαταγραφή</w:t>
      </w:r>
      <w:proofErr w:type="spellEnd"/>
      <w:r>
        <w:rPr>
          <w:lang w:val="el-GR"/>
        </w:rPr>
        <w:t xml:space="preserve"> του φαινομένου παραμένουν από τους σημαντικότερους παράγοντες που δυσχεραίνουν τον σχεδιασμό πολιτικών (</w:t>
      </w:r>
      <w:r>
        <w:t>Council</w:t>
      </w:r>
      <w:r>
        <w:rPr>
          <w:lang w:val="el-GR"/>
        </w:rPr>
        <w:t xml:space="preserve"> </w:t>
      </w:r>
      <w:r>
        <w:t>of</w:t>
      </w:r>
      <w:r>
        <w:rPr>
          <w:lang w:val="el-GR"/>
        </w:rPr>
        <w:t xml:space="preserve"> </w:t>
      </w:r>
      <w:r>
        <w:t>Europe</w:t>
      </w:r>
      <w:r>
        <w:rPr>
          <w:lang w:val="el-GR"/>
        </w:rPr>
        <w:t xml:space="preserve"> [</w:t>
      </w:r>
      <w:r>
        <w:t>GREVIO</w:t>
      </w:r>
      <w:r>
        <w:rPr>
          <w:lang w:val="el-GR"/>
        </w:rPr>
        <w:t>], 2023). Τέσσερα νομοθετήματα αποτελούν τον πυρήνα του πλαισίου:</w:t>
      </w:r>
    </w:p>
    <w:p w14:paraId="519341DD" w14:textId="77777777" w:rsidR="00E63D5B" w:rsidRPr="00132066" w:rsidRDefault="001F059D">
      <w:pPr>
        <w:keepNext/>
        <w:spacing w:after="60"/>
        <w:jc w:val="left"/>
        <w:rPr>
          <w:lang w:val="el-GR"/>
        </w:rPr>
      </w:pPr>
      <w:r>
        <w:rPr>
          <w:b/>
          <w:bCs/>
          <w:color w:val="1D2B44"/>
          <w:sz w:val="20"/>
          <w:szCs w:val="20"/>
          <w:lang w:val="el-GR"/>
        </w:rPr>
        <w:t xml:space="preserve">Πίνακας 1. </w:t>
      </w:r>
      <w:r>
        <w:rPr>
          <w:i/>
          <w:iCs/>
          <w:color w:val="1D2B44"/>
          <w:sz w:val="20"/>
          <w:szCs w:val="20"/>
          <w:lang w:val="el-GR"/>
        </w:rPr>
        <w:t>Βασικά νομοθετήματα για την ενδοοικογενειακή βία στην Ελλάδα</w:t>
      </w:r>
    </w:p>
    <w:tbl>
      <w:tblPr>
        <w:tblStyle w:val="aff3"/>
        <w:tblW w:w="9072" w:type="dxa"/>
        <w:jc w:val="center"/>
        <w:tblLayout w:type="fixed"/>
        <w:tblLook w:val="0400" w:firstRow="0" w:lastRow="0" w:firstColumn="0" w:lastColumn="0" w:noHBand="0" w:noVBand="1"/>
      </w:tblPr>
      <w:tblGrid>
        <w:gridCol w:w="3024"/>
        <w:gridCol w:w="3024"/>
        <w:gridCol w:w="3024"/>
      </w:tblGrid>
      <w:tr w:rsidR="00E63D5B" w14:paraId="0CEF78C0" w14:textId="77777777">
        <w:trPr>
          <w:cantSplit/>
          <w:tblHeader/>
          <w:jc w:val="center"/>
        </w:trPr>
        <w:tc>
          <w:tcPr>
            <w:tcW w:w="3024" w:type="dxa"/>
            <w:tcBorders>
              <w:top w:val="single" w:sz="4" w:space="0" w:color="BFBFBF"/>
              <w:left w:val="single" w:sz="4" w:space="0" w:color="BFBFBF"/>
              <w:bottom w:val="single" w:sz="4" w:space="0" w:color="BFBFBF"/>
              <w:right w:val="single" w:sz="4" w:space="0" w:color="BFBFBF"/>
            </w:tcBorders>
            <w:shd w:val="clear" w:color="auto" w:fill="4A6FA5"/>
          </w:tcPr>
          <w:p w14:paraId="1952AE14" w14:textId="77777777" w:rsidR="00E63D5B" w:rsidRDefault="001F059D">
            <w:pPr>
              <w:spacing w:after="40" w:line="240" w:lineRule="auto"/>
              <w:jc w:val="left"/>
            </w:pPr>
            <w:proofErr w:type="spellStart"/>
            <w:r>
              <w:rPr>
                <w:b/>
                <w:bCs/>
                <w:color w:val="FFFFFF"/>
                <w:sz w:val="19"/>
                <w:szCs w:val="19"/>
              </w:rPr>
              <w:t>Νομοθέτημ</w:t>
            </w:r>
            <w:proofErr w:type="spellEnd"/>
            <w:r>
              <w:rPr>
                <w:b/>
                <w:bCs/>
                <w:color w:val="FFFFFF"/>
                <w:sz w:val="19"/>
                <w:szCs w:val="19"/>
              </w:rPr>
              <w:t>α</w:t>
            </w:r>
          </w:p>
        </w:tc>
        <w:tc>
          <w:tcPr>
            <w:tcW w:w="3024" w:type="dxa"/>
            <w:tcBorders>
              <w:top w:val="single" w:sz="4" w:space="0" w:color="BFBFBF"/>
              <w:left w:val="single" w:sz="4" w:space="0" w:color="BFBFBF"/>
              <w:bottom w:val="single" w:sz="4" w:space="0" w:color="BFBFBF"/>
              <w:right w:val="single" w:sz="4" w:space="0" w:color="BFBFBF"/>
            </w:tcBorders>
            <w:shd w:val="clear" w:color="auto" w:fill="4A6FA5"/>
          </w:tcPr>
          <w:p w14:paraId="13ECF33C" w14:textId="77777777" w:rsidR="00E63D5B" w:rsidRDefault="001F059D">
            <w:pPr>
              <w:spacing w:after="40" w:line="240" w:lineRule="auto"/>
              <w:jc w:val="left"/>
            </w:pPr>
            <w:proofErr w:type="spellStart"/>
            <w:r>
              <w:rPr>
                <w:b/>
                <w:bCs/>
                <w:color w:val="FFFFFF"/>
                <w:sz w:val="19"/>
                <w:szCs w:val="19"/>
              </w:rPr>
              <w:t>Τι</w:t>
            </w:r>
            <w:proofErr w:type="spellEnd"/>
            <w:r>
              <w:rPr>
                <w:b/>
                <w:bCs/>
                <w:color w:val="FFFFFF"/>
                <w:sz w:val="19"/>
                <w:szCs w:val="19"/>
              </w:rPr>
              <w:t xml:space="preserve"> </w:t>
            </w:r>
            <w:proofErr w:type="spellStart"/>
            <w:r>
              <w:rPr>
                <w:b/>
                <w:bCs/>
                <w:color w:val="FFFFFF"/>
                <w:sz w:val="19"/>
                <w:szCs w:val="19"/>
              </w:rPr>
              <w:t>εισήγ</w:t>
            </w:r>
            <w:proofErr w:type="spellEnd"/>
            <w:r>
              <w:rPr>
                <w:b/>
                <w:bCs/>
                <w:color w:val="FFFFFF"/>
                <w:sz w:val="19"/>
                <w:szCs w:val="19"/>
              </w:rPr>
              <w:t>αγε</w:t>
            </w:r>
          </w:p>
        </w:tc>
        <w:tc>
          <w:tcPr>
            <w:tcW w:w="3024" w:type="dxa"/>
            <w:tcBorders>
              <w:top w:val="single" w:sz="4" w:space="0" w:color="BFBFBF"/>
              <w:left w:val="single" w:sz="4" w:space="0" w:color="BFBFBF"/>
              <w:bottom w:val="single" w:sz="4" w:space="0" w:color="BFBFBF"/>
              <w:right w:val="single" w:sz="4" w:space="0" w:color="BFBFBF"/>
            </w:tcBorders>
            <w:shd w:val="clear" w:color="auto" w:fill="4A6FA5"/>
          </w:tcPr>
          <w:p w14:paraId="043C0098" w14:textId="77777777" w:rsidR="00E63D5B" w:rsidRDefault="001F059D">
            <w:pPr>
              <w:spacing w:after="40" w:line="240" w:lineRule="auto"/>
              <w:jc w:val="left"/>
            </w:pPr>
            <w:proofErr w:type="spellStart"/>
            <w:r>
              <w:rPr>
                <w:b/>
                <w:bCs/>
                <w:color w:val="FFFFFF"/>
                <w:sz w:val="19"/>
                <w:szCs w:val="19"/>
              </w:rPr>
              <w:t>Σημ</w:t>
            </w:r>
            <w:proofErr w:type="spellEnd"/>
            <w:r>
              <w:rPr>
                <w:b/>
                <w:bCs/>
                <w:color w:val="FFFFFF"/>
                <w:sz w:val="19"/>
                <w:szCs w:val="19"/>
              </w:rPr>
              <w:t xml:space="preserve">ασία </w:t>
            </w:r>
            <w:proofErr w:type="spellStart"/>
            <w:r>
              <w:rPr>
                <w:b/>
                <w:bCs/>
                <w:color w:val="FFFFFF"/>
                <w:sz w:val="19"/>
                <w:szCs w:val="19"/>
              </w:rPr>
              <w:t>γι</w:t>
            </w:r>
            <w:proofErr w:type="spellEnd"/>
            <w:r>
              <w:rPr>
                <w:b/>
                <w:bCs/>
                <w:color w:val="FFFFFF"/>
                <w:sz w:val="19"/>
                <w:szCs w:val="19"/>
              </w:rPr>
              <w:t xml:space="preserve">α </w:t>
            </w:r>
            <w:proofErr w:type="spellStart"/>
            <w:r>
              <w:rPr>
                <w:b/>
                <w:bCs/>
                <w:color w:val="FFFFFF"/>
                <w:sz w:val="19"/>
                <w:szCs w:val="19"/>
              </w:rPr>
              <w:t>την</w:t>
            </w:r>
            <w:proofErr w:type="spellEnd"/>
            <w:r>
              <w:rPr>
                <w:b/>
                <w:bCs/>
                <w:color w:val="FFFFFF"/>
                <w:sz w:val="19"/>
                <w:szCs w:val="19"/>
              </w:rPr>
              <w:t xml:space="preserve"> </w:t>
            </w:r>
            <w:proofErr w:type="spellStart"/>
            <w:r>
              <w:rPr>
                <w:b/>
                <w:bCs/>
                <w:color w:val="FFFFFF"/>
                <w:sz w:val="19"/>
                <w:szCs w:val="19"/>
              </w:rPr>
              <w:t>έρευν</w:t>
            </w:r>
            <w:proofErr w:type="spellEnd"/>
            <w:r>
              <w:rPr>
                <w:b/>
                <w:bCs/>
                <w:color w:val="FFFFFF"/>
                <w:sz w:val="19"/>
                <w:szCs w:val="19"/>
              </w:rPr>
              <w:t>α</w:t>
            </w:r>
          </w:p>
        </w:tc>
      </w:tr>
      <w:tr w:rsidR="00E63D5B" w:rsidRPr="00D84B1E" w14:paraId="3D1F386D"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tcPr>
          <w:p w14:paraId="59F813B2" w14:textId="77777777" w:rsidR="00E63D5B" w:rsidRDefault="001F059D">
            <w:pPr>
              <w:spacing w:after="40" w:line="240" w:lineRule="auto"/>
              <w:jc w:val="left"/>
            </w:pPr>
            <w:r>
              <w:rPr>
                <w:sz w:val="19"/>
                <w:szCs w:val="19"/>
              </w:rPr>
              <w:t>Ν. 3500/2006</w:t>
            </w:r>
          </w:p>
        </w:tc>
        <w:tc>
          <w:tcPr>
            <w:tcW w:w="3024" w:type="dxa"/>
            <w:tcBorders>
              <w:top w:val="single" w:sz="4" w:space="0" w:color="BFBFBF"/>
              <w:left w:val="single" w:sz="4" w:space="0" w:color="BFBFBF"/>
              <w:bottom w:val="single" w:sz="4" w:space="0" w:color="BFBFBF"/>
              <w:right w:val="single" w:sz="4" w:space="0" w:color="BFBFBF"/>
            </w:tcBorders>
          </w:tcPr>
          <w:p w14:paraId="1D188B7A" w14:textId="116F8270" w:rsidR="00E63D5B" w:rsidRPr="00132066" w:rsidRDefault="001F059D">
            <w:pPr>
              <w:spacing w:after="40" w:line="240" w:lineRule="auto"/>
              <w:jc w:val="left"/>
              <w:rPr>
                <w:lang w:val="el-GR"/>
              </w:rPr>
            </w:pPr>
            <w:r>
              <w:rPr>
                <w:sz w:val="19"/>
                <w:szCs w:val="19"/>
                <w:lang w:val="el-GR"/>
              </w:rPr>
              <w:t xml:space="preserve">Πρώτο ολοκληρωμένο πλαίσιο: ρητή αναγνώριση σωματικής, ψυχολογικής, σεξουαλικής βίας εντός της </w:t>
            </w:r>
            <w:proofErr w:type="spellStart"/>
            <w:r>
              <w:rPr>
                <w:sz w:val="19"/>
                <w:szCs w:val="19"/>
                <w:lang w:val="el-GR"/>
              </w:rPr>
              <w:t>οικογένειας·αυτεπάγγελτη</w:t>
            </w:r>
            <w:proofErr w:type="spellEnd"/>
            <w:r>
              <w:rPr>
                <w:sz w:val="19"/>
                <w:szCs w:val="19"/>
                <w:lang w:val="el-GR"/>
              </w:rPr>
              <w:t xml:space="preserve"> δίωξη για τα περισσότερα </w:t>
            </w:r>
            <w:proofErr w:type="spellStart"/>
            <w:r>
              <w:rPr>
                <w:sz w:val="19"/>
                <w:szCs w:val="19"/>
                <w:lang w:val="el-GR"/>
              </w:rPr>
              <w:t>αδικήματα·μέτρα</w:t>
            </w:r>
            <w:proofErr w:type="spellEnd"/>
            <w:r>
              <w:rPr>
                <w:sz w:val="19"/>
                <w:szCs w:val="19"/>
                <w:lang w:val="el-GR"/>
              </w:rPr>
              <w:t xml:space="preserve"> προστασίας</w:t>
            </w:r>
          </w:p>
        </w:tc>
        <w:tc>
          <w:tcPr>
            <w:tcW w:w="3024" w:type="dxa"/>
            <w:tcBorders>
              <w:top w:val="single" w:sz="4" w:space="0" w:color="BFBFBF"/>
              <w:left w:val="single" w:sz="4" w:space="0" w:color="BFBFBF"/>
              <w:bottom w:val="single" w:sz="4" w:space="0" w:color="BFBFBF"/>
              <w:right w:val="single" w:sz="4" w:space="0" w:color="BFBFBF"/>
            </w:tcBorders>
          </w:tcPr>
          <w:p w14:paraId="51AB8BCE" w14:textId="7DEBB27D" w:rsidR="00E63D5B" w:rsidRPr="00132066" w:rsidRDefault="001F059D">
            <w:pPr>
              <w:spacing w:after="40" w:line="240" w:lineRule="auto"/>
              <w:jc w:val="left"/>
              <w:rPr>
                <w:lang w:val="el-GR"/>
              </w:rPr>
            </w:pPr>
            <w:r>
              <w:rPr>
                <w:sz w:val="19"/>
                <w:szCs w:val="19"/>
                <w:lang w:val="el-GR"/>
              </w:rPr>
              <w:t xml:space="preserve">Θεμέλιο του </w:t>
            </w:r>
            <w:proofErr w:type="spellStart"/>
            <w:r>
              <w:rPr>
                <w:sz w:val="19"/>
                <w:szCs w:val="19"/>
                <w:lang w:val="el-GR"/>
              </w:rPr>
              <w:t>συστήματος·η</w:t>
            </w:r>
            <w:proofErr w:type="spellEnd"/>
            <w:r>
              <w:rPr>
                <w:sz w:val="19"/>
                <w:szCs w:val="19"/>
                <w:lang w:val="el-GR"/>
              </w:rPr>
              <w:t xml:space="preserve"> </w:t>
            </w:r>
            <w:r>
              <w:rPr>
                <w:sz w:val="19"/>
                <w:szCs w:val="19"/>
              </w:rPr>
              <w:t>GREVIO</w:t>
            </w:r>
            <w:r>
              <w:rPr>
                <w:sz w:val="19"/>
                <w:szCs w:val="19"/>
                <w:lang w:val="el-GR"/>
              </w:rPr>
              <w:t xml:space="preserve"> έχει επισημάνει ανάγκες ενίσχυσης του συντονισμού των φορέων και της εξειδικευμένης εκπαίδευσης</w:t>
            </w:r>
          </w:p>
        </w:tc>
      </w:tr>
      <w:tr w:rsidR="00E63D5B" w:rsidRPr="00D84B1E" w14:paraId="5CA2A77F"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71C47839" w14:textId="77777777" w:rsidR="00E63D5B" w:rsidRDefault="001F059D">
            <w:pPr>
              <w:spacing w:after="40" w:line="240" w:lineRule="auto"/>
              <w:jc w:val="left"/>
            </w:pPr>
            <w:r>
              <w:rPr>
                <w:sz w:val="19"/>
                <w:szCs w:val="19"/>
              </w:rPr>
              <w:t>Ν. 4531/2018</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19451F9D" w14:textId="562B6144" w:rsidR="00E63D5B" w:rsidRPr="00132066" w:rsidRDefault="001F059D">
            <w:pPr>
              <w:spacing w:after="40" w:line="240" w:lineRule="auto"/>
              <w:jc w:val="left"/>
              <w:rPr>
                <w:lang w:val="el-GR"/>
              </w:rPr>
            </w:pPr>
            <w:r>
              <w:rPr>
                <w:sz w:val="19"/>
                <w:szCs w:val="19"/>
                <w:lang w:val="el-GR"/>
              </w:rPr>
              <w:t xml:space="preserve">Κύρωση της Σύμβασης της Κωνσταντινούπολης: η βία κατά των γυναικών ως μορφή διάκρισης και παραβίαση ανθρωπίνων </w:t>
            </w:r>
            <w:proofErr w:type="spellStart"/>
            <w:r>
              <w:rPr>
                <w:sz w:val="19"/>
                <w:szCs w:val="19"/>
                <w:lang w:val="el-GR"/>
              </w:rPr>
              <w:t>δικαιωμάτων·υποχρεώσεις</w:t>
            </w:r>
            <w:proofErr w:type="spellEnd"/>
            <w:r>
              <w:rPr>
                <w:sz w:val="19"/>
                <w:szCs w:val="19"/>
                <w:lang w:val="el-GR"/>
              </w:rPr>
              <w:t xml:space="preserve"> πρόληψης, προστασίας, δίωξης και ολοκληρωμένων πολιτικών</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0BDA9C16" w14:textId="77777777" w:rsidR="00E63D5B" w:rsidRPr="00132066" w:rsidRDefault="001F059D">
            <w:pPr>
              <w:spacing w:after="40" w:line="240" w:lineRule="auto"/>
              <w:jc w:val="left"/>
              <w:rPr>
                <w:lang w:val="el-GR"/>
              </w:rPr>
            </w:pPr>
            <w:r>
              <w:rPr>
                <w:sz w:val="19"/>
                <w:szCs w:val="19"/>
                <w:lang w:val="el-GR"/>
              </w:rPr>
              <w:t xml:space="preserve">Εισάγει τον μηχανισμό εποπτείας </w:t>
            </w:r>
            <w:r>
              <w:rPr>
                <w:sz w:val="19"/>
                <w:szCs w:val="19"/>
              </w:rPr>
              <w:t>GREVIO</w:t>
            </w:r>
            <w:r>
              <w:rPr>
                <w:sz w:val="19"/>
                <w:szCs w:val="19"/>
                <w:lang w:val="el-GR"/>
              </w:rPr>
              <w:t>, η πρώτη αξιολόγηση της οποίας (2023) αναγνώρισε πρόοδο στις δομές αλλά επισήμανε γεωγραφικές ανισότητες, ελλείψεις στα στατιστικά συστήματα και ανάγκη εκπαίδευσης επαγγελματιών</w:t>
            </w:r>
          </w:p>
        </w:tc>
      </w:tr>
      <w:tr w:rsidR="00E63D5B" w:rsidRPr="00D84B1E" w14:paraId="3FD2FD1C"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tcPr>
          <w:p w14:paraId="6700931E" w14:textId="77777777" w:rsidR="00E63D5B" w:rsidRDefault="001F059D">
            <w:pPr>
              <w:spacing w:after="40" w:line="240" w:lineRule="auto"/>
              <w:jc w:val="left"/>
            </w:pPr>
            <w:r>
              <w:rPr>
                <w:sz w:val="19"/>
                <w:szCs w:val="19"/>
              </w:rPr>
              <w:t>Ν. 4604/2019</w:t>
            </w:r>
          </w:p>
        </w:tc>
        <w:tc>
          <w:tcPr>
            <w:tcW w:w="3024" w:type="dxa"/>
            <w:tcBorders>
              <w:top w:val="single" w:sz="4" w:space="0" w:color="BFBFBF"/>
              <w:left w:val="single" w:sz="4" w:space="0" w:color="BFBFBF"/>
              <w:bottom w:val="single" w:sz="4" w:space="0" w:color="BFBFBF"/>
              <w:right w:val="single" w:sz="4" w:space="0" w:color="BFBFBF"/>
            </w:tcBorders>
          </w:tcPr>
          <w:p w14:paraId="1C18D9E4" w14:textId="593F5148" w:rsidR="00E63D5B" w:rsidRPr="00132066" w:rsidRDefault="001F059D">
            <w:pPr>
              <w:spacing w:after="40" w:line="240" w:lineRule="auto"/>
              <w:jc w:val="left"/>
              <w:rPr>
                <w:lang w:val="el-GR"/>
              </w:rPr>
            </w:pPr>
            <w:r>
              <w:rPr>
                <w:sz w:val="19"/>
                <w:szCs w:val="19"/>
                <w:lang w:val="el-GR"/>
              </w:rPr>
              <w:t xml:space="preserve">Ενσωμάτωση της διάστασης του φύλου σε όλες τις δημόσιες </w:t>
            </w:r>
            <w:proofErr w:type="spellStart"/>
            <w:r>
              <w:rPr>
                <w:sz w:val="19"/>
                <w:szCs w:val="19"/>
                <w:lang w:val="el-GR"/>
              </w:rPr>
              <w:t>πολιτικές·ευθύνη</w:t>
            </w:r>
            <w:proofErr w:type="spellEnd"/>
            <w:r>
              <w:rPr>
                <w:sz w:val="19"/>
                <w:szCs w:val="19"/>
                <w:lang w:val="el-GR"/>
              </w:rPr>
              <w:t xml:space="preserve"> της τοπικής αυτοδιοίκησης για πολιτικές ισότητας και πρόληψης της έμφυλης βίας</w:t>
            </w:r>
          </w:p>
        </w:tc>
        <w:tc>
          <w:tcPr>
            <w:tcW w:w="3024" w:type="dxa"/>
            <w:tcBorders>
              <w:top w:val="single" w:sz="4" w:space="0" w:color="BFBFBF"/>
              <w:left w:val="single" w:sz="4" w:space="0" w:color="BFBFBF"/>
              <w:bottom w:val="single" w:sz="4" w:space="0" w:color="BFBFBF"/>
              <w:right w:val="single" w:sz="4" w:space="0" w:color="BFBFBF"/>
            </w:tcBorders>
          </w:tcPr>
          <w:p w14:paraId="006BBA34" w14:textId="77777777" w:rsidR="00E63D5B" w:rsidRPr="00132066" w:rsidRDefault="001F059D">
            <w:pPr>
              <w:spacing w:after="40" w:line="240" w:lineRule="auto"/>
              <w:jc w:val="left"/>
              <w:rPr>
                <w:lang w:val="el-GR"/>
              </w:rPr>
            </w:pPr>
            <w:r>
              <w:rPr>
                <w:sz w:val="19"/>
                <w:szCs w:val="19"/>
                <w:lang w:val="el-GR"/>
              </w:rPr>
              <w:t>Ανοίγει τον δρόμο σε τοπικές δράσεις πρόληψης, με ανομοιόμορφη όμως εφαρμογή ανά περιφέρεια</w:t>
            </w:r>
          </w:p>
        </w:tc>
      </w:tr>
      <w:tr w:rsidR="00E63D5B" w:rsidRPr="00D84B1E" w14:paraId="729790E0"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1C44F910" w14:textId="77777777" w:rsidR="00E63D5B" w:rsidRDefault="001F059D">
            <w:pPr>
              <w:spacing w:after="40" w:line="240" w:lineRule="auto"/>
              <w:jc w:val="left"/>
            </w:pPr>
            <w:r>
              <w:rPr>
                <w:sz w:val="19"/>
                <w:szCs w:val="19"/>
              </w:rPr>
              <w:t>Ν. 5172/2025</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1D138A3F" w14:textId="77777777" w:rsidR="00E63D5B" w:rsidRPr="00132066" w:rsidRDefault="001F059D">
            <w:pPr>
              <w:spacing w:after="40" w:line="240" w:lineRule="auto"/>
              <w:jc w:val="left"/>
              <w:rPr>
                <w:lang w:val="el-GR"/>
              </w:rPr>
            </w:pPr>
            <w:r>
              <w:rPr>
                <w:sz w:val="19"/>
                <w:szCs w:val="19"/>
                <w:lang w:val="el-GR"/>
              </w:rPr>
              <w:t xml:space="preserve">Εναρμόνιση με την Οδηγία (ΕΕ) 2024/1385: αναγνώριση νέων μορφών βίας (τεχνολογικά υποβοηθούμενη κακοποίηση, εξαναγκαστικός έλεγχος, καταναγκαστικός γάμος)·κατάθεση μέσω τηλεδιάσκεψης, προστασία δεδομένων, ακροαματική διαδικασία χωρίς κοινό, αυστηρότερες </w:t>
            </w:r>
            <w:proofErr w:type="spellStart"/>
            <w:r>
              <w:rPr>
                <w:sz w:val="19"/>
                <w:szCs w:val="19"/>
                <w:lang w:val="el-GR"/>
              </w:rPr>
              <w:t>ποινές·ενίσχυση</w:t>
            </w:r>
            <w:proofErr w:type="spellEnd"/>
            <w:r>
              <w:rPr>
                <w:sz w:val="19"/>
                <w:szCs w:val="19"/>
                <w:lang w:val="el-GR"/>
              </w:rPr>
              <w:t xml:space="preserve"> ιατροδικαστικών υπηρεσιών</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11AB458B" w14:textId="77777777" w:rsidR="00E63D5B" w:rsidRPr="00132066" w:rsidRDefault="001F059D">
            <w:pPr>
              <w:spacing w:after="40" w:line="240" w:lineRule="auto"/>
              <w:jc w:val="left"/>
              <w:rPr>
                <w:lang w:val="el-GR"/>
              </w:rPr>
            </w:pPr>
            <w:r>
              <w:rPr>
                <w:sz w:val="19"/>
                <w:szCs w:val="19"/>
                <w:lang w:val="el-GR"/>
              </w:rPr>
              <w:t>Νομοθετική αναγνώριση ακριβώς των μορφών βίας (ψυχολογικός έλεγχος, ψηφιακή βία, βία μετά τον χωρισμό) που αναδείχθηκαν κεντρικές στα ευρήματα της έρευνας</w:t>
            </w:r>
          </w:p>
        </w:tc>
      </w:tr>
    </w:tbl>
    <w:p w14:paraId="3B9DE819" w14:textId="77777777" w:rsidR="00E63D5B" w:rsidRPr="00132066" w:rsidRDefault="00E63D5B">
      <w:pPr>
        <w:spacing w:after="80"/>
        <w:rPr>
          <w:lang w:val="el-GR"/>
        </w:rPr>
      </w:pPr>
    </w:p>
    <w:p w14:paraId="33DDD156" w14:textId="77777777" w:rsidR="00E63D5B" w:rsidRPr="00132066" w:rsidRDefault="001F059D">
      <w:pPr>
        <w:rPr>
          <w:lang w:val="el-GR"/>
        </w:rPr>
      </w:pPr>
      <w:r>
        <w:rPr>
          <w:lang w:val="el-GR"/>
        </w:rPr>
        <w:t>Η Ελληνική Αστυνομία αποτελεί το κατεξοχήν σημείο πρώτης επαφής, με ειδικά Γραφεία Αντιμετώπισης Ενδοοικογενειακής Βίας. Η εξειδίκευση του προσωπικού, η διαθεσιμότητα χρόνου και η ενιαία εφαρμογή πρωτοκόλλων, ωστόσο, δεν είναι πάντα δεδομένες (</w:t>
      </w:r>
      <w:r>
        <w:t>GREVIO</w:t>
      </w:r>
      <w:r>
        <w:rPr>
          <w:lang w:val="el-GR"/>
        </w:rPr>
        <w:t xml:space="preserve">, 2023). Το ΚΕΘΙ </w:t>
      </w:r>
      <w:r>
        <w:rPr>
          <w:lang w:val="el-GR"/>
        </w:rPr>
        <w:lastRenderedPageBreak/>
        <w:t>λειτουργεί ως κεντρικός φορέας επιστημονικής, εποπτείας και συντονισμού των δομών του Δικτύου της ΓΓΙΑΔ για την πρόληψη και την καταπολέμηση της βίας κατά των γυναικών. Τα Συμβουλευτικά Κέντρα και οι Ξενώνες Φιλοξενίας του Δικτύου προσφέρουν κοινωνική, ψυχολογική, εργασιακή και νομική στήριξη, καθώς και ασφαλή φιλοξενία των γυναικών και των παιδιών τους. Στον τομέα της παιδικής προστασίας, ο Ν. 4837/2021 θέσπισε το Εθνικό Σύστημα Καταγραφής και Παρακολούθησης Αναφορών περιστατικών κακοποίησης ανηλίκων, με συντονιστικό ρόλο του ΕΚΚΑ. Η αναγνώριση της έκθεσης του παιδιού στη βία ως μορφής κακοποίησης επιβάλλει στις υπηρεσίες την ενεργοποίηση διαδικασιών ενημέρωσης των εισαγγελικών αρχών και εξειδικευμένης αξιολόγησης του κινδύνου. Η έλλειψη στελέχωσης, οι καθυστερήσεις και η απουσία ενιαίων διαδικασιών αποτελούν συχνά εμπόδια (</w:t>
      </w:r>
      <w:r>
        <w:t>GREVIO</w:t>
      </w:r>
      <w:r>
        <w:rPr>
          <w:lang w:val="el-GR"/>
        </w:rPr>
        <w:t>, 2023·Υπουργείο Κοινωνικής Συνοχής και Οικογένειας, 2024).</w:t>
      </w:r>
    </w:p>
    <w:p w14:paraId="5FB4AA4E" w14:textId="77777777" w:rsidR="00E63D5B" w:rsidRPr="00132066" w:rsidRDefault="001F059D">
      <w:pPr>
        <w:rPr>
          <w:lang w:val="el-GR"/>
        </w:rPr>
      </w:pPr>
      <w:r>
        <w:rPr>
          <w:lang w:val="el-GR"/>
        </w:rPr>
        <w:t xml:space="preserve">Στον Δείκτη Ισότητας των Φύλων 2025 του </w:t>
      </w:r>
      <w:r>
        <w:t>EIGE</w:t>
      </w:r>
      <w:r>
        <w:rPr>
          <w:lang w:val="el-GR"/>
        </w:rPr>
        <w:t xml:space="preserve"> η Ελλάδα συγκέντρωσε 57,0 βαθμούς στους 100 (22η θέση στην ΕΕ, σε τροχιά βελτίωσης) (EIGE, 2025b). Στον τομέα της έμφυλης βίας του Δείκτη 2024, το 16% περίπου των γυναικών που υπέστησαν βία τους τελευταίους 12 μήνες δεν το εκμυστηρεύτηκαν σε κανέναν, το χαμηλότερο ποσοστό απόκρυψης στην ΕΕ μαζί με την Πολωνία, ένδειξη ότι οι Ελληνίδες τείνουν πλέον να μιλούν συχνότερα για τη βία που υφίστανται (</w:t>
      </w:r>
      <w:r>
        <w:t>EIGE</w:t>
      </w:r>
      <w:r>
        <w:rPr>
          <w:lang w:val="el-GR"/>
        </w:rPr>
        <w:t>, 2025a).</w:t>
      </w:r>
    </w:p>
    <w:p w14:paraId="30F658EA" w14:textId="77777777" w:rsidR="00E63D5B" w:rsidRPr="00132066" w:rsidRDefault="001F059D">
      <w:pPr>
        <w:pStyle w:val="20"/>
        <w:rPr>
          <w:lang w:val="el-GR"/>
        </w:rPr>
      </w:pPr>
      <w:bookmarkStart w:id="19" w:name="_Toc242134424"/>
      <w:r>
        <w:rPr>
          <w:lang w:val="el-GR"/>
        </w:rPr>
        <w:t>3.2 Το ευρωπαϊκό θεσμικό πλαίσιο</w:t>
      </w:r>
      <w:bookmarkEnd w:id="19"/>
    </w:p>
    <w:p w14:paraId="75BDD608" w14:textId="77777777" w:rsidR="00E63D5B" w:rsidRPr="00132066" w:rsidRDefault="001F059D">
      <w:pPr>
        <w:rPr>
          <w:lang w:val="el-GR"/>
        </w:rPr>
      </w:pPr>
      <w:r>
        <w:rPr>
          <w:lang w:val="el-GR"/>
        </w:rPr>
        <w:t>Ο Χάρτης Θεμελιωδών Δικαιωμάτων της ΕΕ κατοχυρώνει την ανθρώπινη αξιοπρέπεια (άρθρο 1), το δικαίωμα στη σωματική και ψυχική ακεραιότητα (άρθρο 3), την απαγόρευση των διακρίσεων λόγω φύλου (άρθρο 21) και το δικαίωμα των παιδιών στην προστασία και τη φροντίδα (άρθρο 24). Η Οδηγία 2012/29/ΕΕ θέτει τις ελάχιστες προδιαγραφές για τα δικαιώματα των θυμάτων εγκληματικών πράξεων και εισάγει την ατομική εκτίμηση κινδύνου και τα εξατομικευμένα μέτρα προστασίας. Η Οδηγία (ΕΕ) 2024/1385 είναι το πλέον σύγχρονο εργαλείο: εισάγει υποχρεωτικές ρυθμίσεις για την τεχνολογικά υποβοηθούμενη κακοποίηση και τον εξαναγκαστικό έλεγχο, ενισχύει τη διασυνοριακή συνεργασία και απαιτεί από τα κράτη-μέλη συστήματα συλλογής δεδομένων και αξιολόγησης επικινδυνότητας. Το Ευρωπαϊκό Ινστιτούτο για την Ισότητα των Φύλων (</w:t>
      </w:r>
      <w:r>
        <w:t>EIGE</w:t>
      </w:r>
      <w:r>
        <w:rPr>
          <w:lang w:val="el-GR"/>
        </w:rPr>
        <w:t>) αποτελεί τον βασικό ευρωπαϊκό φορέα συλλογής και ανάλυσης δεδομένων, ενώ οι διαδοχικές ευρωπαϊκές στρατηγικές για την ισότητα των φύλων καθοδηγούν τις εθνικές πολιτικές προς μια ολοκληρωμένη προσέγγιση πρόληψης, προστασίας, πρόσβασης στη δικαιοσύνη και αξιολόγησης (</w:t>
      </w:r>
      <w:r>
        <w:t>EIGE</w:t>
      </w:r>
      <w:r>
        <w:rPr>
          <w:lang w:val="el-GR"/>
        </w:rPr>
        <w:t>, 2025a·</w:t>
      </w:r>
      <w:r>
        <w:t>European</w:t>
      </w:r>
      <w:r>
        <w:rPr>
          <w:lang w:val="el-GR"/>
        </w:rPr>
        <w:t xml:space="preserve"> </w:t>
      </w:r>
      <w:r>
        <w:t>Commission</w:t>
      </w:r>
      <w:r>
        <w:rPr>
          <w:lang w:val="el-GR"/>
        </w:rPr>
        <w:t>, 2020).</w:t>
      </w:r>
    </w:p>
    <w:p w14:paraId="0EC8E69F" w14:textId="77777777" w:rsidR="00E63D5B" w:rsidRPr="00132066" w:rsidRDefault="001F059D">
      <w:pPr>
        <w:pStyle w:val="20"/>
        <w:rPr>
          <w:lang w:val="el-GR"/>
        </w:rPr>
      </w:pPr>
      <w:bookmarkStart w:id="20" w:name="_Toc242134425"/>
      <w:r>
        <w:rPr>
          <w:lang w:val="el-GR"/>
        </w:rPr>
        <w:t>3.3 Το διεθνές θεσμικό πλαίσιο</w:t>
      </w:r>
      <w:bookmarkEnd w:id="20"/>
    </w:p>
    <w:p w14:paraId="4C442306" w14:textId="77777777" w:rsidR="00E63D5B" w:rsidRPr="00132066" w:rsidRDefault="001F059D">
      <w:pPr>
        <w:rPr>
          <w:lang w:val="el-GR"/>
        </w:rPr>
      </w:pPr>
      <w:r>
        <w:rPr>
          <w:lang w:val="el-GR"/>
        </w:rPr>
        <w:t>Η Σύμβαση για την Εξάλειψη Κάθε Μορφής Διακρίσεων κατά των Γυναικών (</w:t>
      </w:r>
      <w:r>
        <w:t>United</w:t>
      </w:r>
      <w:r>
        <w:rPr>
          <w:lang w:val="el-GR"/>
        </w:rPr>
        <w:t xml:space="preserve"> </w:t>
      </w:r>
      <w:r>
        <w:t>Nations</w:t>
      </w:r>
      <w:r>
        <w:rPr>
          <w:lang w:val="el-GR"/>
        </w:rPr>
        <w:t>, 1979) και οι Γενικές Συστάσεις 19 και 35 της Επιτροπής της διευκρινίζουν ότι η ενδοοικογενειακή βία συνιστά μορφή διάκρισης και παραβίαση θεμελιωδών δικαιωμάτων, καλώντας τα κράτη σε δέουσα επιμέλεια για την πρόληψη, τη διερεύνηση και την τιμωρία της (</w:t>
      </w:r>
      <w:r>
        <w:t>CEDAW</w:t>
      </w:r>
      <w:r>
        <w:rPr>
          <w:lang w:val="el-GR"/>
        </w:rPr>
        <w:t xml:space="preserve"> </w:t>
      </w:r>
      <w:r>
        <w:t>Committee</w:t>
      </w:r>
      <w:r>
        <w:rPr>
          <w:lang w:val="el-GR"/>
        </w:rPr>
        <w:t>, 1992, 2017). Η Σύμβαση για τα Δικαιώματα του Παιδιού (</w:t>
      </w:r>
      <w:r>
        <w:t>United</w:t>
      </w:r>
      <w:r>
        <w:rPr>
          <w:lang w:val="el-GR"/>
        </w:rPr>
        <w:t xml:space="preserve"> </w:t>
      </w:r>
      <w:r>
        <w:t>Nations</w:t>
      </w:r>
      <w:r>
        <w:rPr>
          <w:lang w:val="el-GR"/>
        </w:rPr>
        <w:t>, 1989) επιβάλλει την προστασία των παιδιών από κάθε μορφή βίας, ανεξαρτήτως του χώρου όπου εκδηλώνεται, και αναγνωρίζει ότι η έκθεση σε ενδοοικογενειακή βία παραβιάζει θεμελιώδη δικαιώματά τους (</w:t>
      </w:r>
      <w:r>
        <w:t>Committee</w:t>
      </w:r>
      <w:r>
        <w:rPr>
          <w:lang w:val="el-GR"/>
        </w:rPr>
        <w:t xml:space="preserve"> </w:t>
      </w:r>
      <w:r>
        <w:t>on</w:t>
      </w:r>
      <w:r>
        <w:rPr>
          <w:lang w:val="el-GR"/>
        </w:rPr>
        <w:t xml:space="preserve"> </w:t>
      </w:r>
      <w:r>
        <w:t>the</w:t>
      </w:r>
      <w:r>
        <w:rPr>
          <w:lang w:val="el-GR"/>
        </w:rPr>
        <w:t xml:space="preserve"> </w:t>
      </w:r>
      <w:r>
        <w:t>Rights</w:t>
      </w:r>
      <w:r>
        <w:rPr>
          <w:lang w:val="el-GR"/>
        </w:rPr>
        <w:t xml:space="preserve"> </w:t>
      </w:r>
      <w:r>
        <w:t>of</w:t>
      </w:r>
      <w:r>
        <w:rPr>
          <w:lang w:val="el-GR"/>
        </w:rPr>
        <w:t xml:space="preserve"> </w:t>
      </w:r>
      <w:r>
        <w:t>the</w:t>
      </w:r>
      <w:r>
        <w:rPr>
          <w:lang w:val="el-GR"/>
        </w:rPr>
        <w:t xml:space="preserve"> </w:t>
      </w:r>
      <w:r>
        <w:t>Child</w:t>
      </w:r>
      <w:r>
        <w:rPr>
          <w:lang w:val="el-GR"/>
        </w:rPr>
        <w:t xml:space="preserve">, 2011). Ο Παγκόσμιος Οργανισμός Υγείας έχει αναδείξει την ενδοοικογενειακή βία ως ζήτημα δημόσιας υγείας και έχει εκδώσει κατευθυντήριες οδηγίες για την ανταπόκριση των υπηρεσιών υγείας, ενώ η </w:t>
      </w:r>
      <w:r>
        <w:t>UN</w:t>
      </w:r>
      <w:r>
        <w:rPr>
          <w:lang w:val="el-GR"/>
        </w:rPr>
        <w:t xml:space="preserve"> </w:t>
      </w:r>
      <w:r>
        <w:t>Women</w:t>
      </w:r>
      <w:r>
        <w:rPr>
          <w:lang w:val="el-GR"/>
        </w:rPr>
        <w:t xml:space="preserve"> έχει διαμορφώσει πρότυπα για την πρόληψη, τα καταφύγια, την ενδυνάμωση των θυμάτων και τα συστήματα δεδομένων (</w:t>
      </w:r>
      <w:r>
        <w:t>UN</w:t>
      </w:r>
      <w:r>
        <w:rPr>
          <w:lang w:val="el-GR"/>
        </w:rPr>
        <w:t xml:space="preserve"> </w:t>
      </w:r>
      <w:r>
        <w:t>Women</w:t>
      </w:r>
      <w:r>
        <w:rPr>
          <w:lang w:val="el-GR"/>
        </w:rPr>
        <w:t>, 2015, 2022</w:t>
      </w:r>
      <w:r>
        <w:t>a</w:t>
      </w:r>
      <w:r>
        <w:rPr>
          <w:lang w:val="el-GR"/>
        </w:rPr>
        <w:t>·</w:t>
      </w:r>
      <w:r>
        <w:t>WHO</w:t>
      </w:r>
      <w:r>
        <w:rPr>
          <w:lang w:val="el-GR"/>
        </w:rPr>
        <w:t>, 2013</w:t>
      </w:r>
      <w:r>
        <w:t>b</w:t>
      </w:r>
      <w:r>
        <w:rPr>
          <w:lang w:val="el-GR"/>
        </w:rPr>
        <w:t xml:space="preserve">, 2021). Κοινός παρονομαστής των διεθνών προτύπων είναι ότι η πρόληψη δεν επιτυγχάνεται μόνο με </w:t>
      </w:r>
      <w:r>
        <w:rPr>
          <w:lang w:val="el-GR"/>
        </w:rPr>
        <w:lastRenderedPageBreak/>
        <w:t>ποινικές κυρώσεις: απαιτεί ενδυνάμωση των θυμάτων, αντιμετώπιση των κοινωνικών ανισοτήτων, συντονισμένες πολιτικές, επαρκή χρηματοδότηση και εκπαίδευση επαγγελματιών (</w:t>
      </w:r>
      <w:r>
        <w:t>WHO</w:t>
      </w:r>
      <w:r>
        <w:rPr>
          <w:lang w:val="el-GR"/>
        </w:rPr>
        <w:t>, 2019·</w:t>
      </w:r>
      <w:r>
        <w:t>UN</w:t>
      </w:r>
      <w:r>
        <w:rPr>
          <w:lang w:val="el-GR"/>
        </w:rPr>
        <w:t xml:space="preserve"> </w:t>
      </w:r>
      <w:r>
        <w:t>Women</w:t>
      </w:r>
      <w:r>
        <w:rPr>
          <w:lang w:val="el-GR"/>
        </w:rPr>
        <w:t>, 2022</w:t>
      </w:r>
      <w:r>
        <w:t>a</w:t>
      </w:r>
      <w:r>
        <w:rPr>
          <w:lang w:val="el-GR"/>
        </w:rPr>
        <w:t>).</w:t>
      </w:r>
    </w:p>
    <w:p w14:paraId="6D007F09" w14:textId="77777777" w:rsidR="00E63D5B" w:rsidRPr="00132066" w:rsidRDefault="001F059D">
      <w:pPr>
        <w:pStyle w:val="20"/>
        <w:rPr>
          <w:lang w:val="el-GR"/>
        </w:rPr>
      </w:pPr>
      <w:bookmarkStart w:id="21" w:name="_Toc242134426"/>
      <w:r>
        <w:rPr>
          <w:lang w:val="el-GR"/>
        </w:rPr>
        <w:t>3.4 Η σύνδεση του θεσμικού πλαισίου με την έρευνα</w:t>
      </w:r>
      <w:bookmarkEnd w:id="21"/>
    </w:p>
    <w:p w14:paraId="47165EA6" w14:textId="77777777" w:rsidR="00E63D5B" w:rsidRPr="00132066" w:rsidRDefault="001F059D">
      <w:pPr>
        <w:rPr>
          <w:lang w:val="el-GR"/>
        </w:rPr>
      </w:pPr>
      <w:r>
        <w:rPr>
          <w:lang w:val="el-GR"/>
        </w:rPr>
        <w:t xml:space="preserve">Η έρευνα συνδέεται με το θεσμικό πλαίσιο </w:t>
      </w:r>
      <w:r>
        <w:rPr>
          <w:b/>
          <w:bCs/>
          <w:lang w:val="el-GR"/>
        </w:rPr>
        <w:t>με τρεις τρόπους</w:t>
      </w:r>
      <w:r>
        <w:rPr>
          <w:lang w:val="el-GR"/>
        </w:rPr>
        <w:t>. Πρώτον, το δείγμα προήλθε από τις δομές που το θεσμικό πλαίσιο έχει δημιουργήσει (Συμβουλευτικά Κέντρα, Ξενώνες Φιλοξενίας), γεγονός που σημαίνει ότι τα ευρήματα αποτυπώνουν την εμπειρία γυναικών που έχουν ήδη έρθει σε επαφή με το σύστημα προστασίας. Δεύτερον, η θεωρητική αντίληψη που ενσωματώνεται στη Σύμβαση της Κωνσταντινούπολης και στον Ν. 5172/2025 (η βία ως προϊόν έμφυλων ανισοτήτων και δομικών παραγόντων, ο εξαναγκαστικός έλεγχος ως διακριτή μορφή βίας) ταυτίζεται με το ερμηνευτικό πλαίσιο της έρευνας</w:t>
      </w:r>
      <w:r w:rsidRPr="007F3330">
        <w:rPr>
          <w:lang w:val="el-GR"/>
        </w:rPr>
        <w:t xml:space="preserve">. </w:t>
      </w:r>
      <w:r w:rsidRPr="009C3AC6">
        <w:rPr>
          <w:lang w:val="el-GR"/>
        </w:rPr>
        <w:t>Τρίτον, στις αφηγήσεις των γυναικών για το τραύμα και την αποκατάστασή τους, η επαφή με την αστυνομία, τη δικαιοσύνη, τις κοινωνικές υπηρεσίες και τις υπηρεσίες ψυχικής υγείας αναδεικνύεται ως παράγοντας που μπορεί είτε να στηρίξει την αποκατάσταση είτε να επιτείνει το τραύμα</w:t>
      </w:r>
      <w:r w:rsidRPr="007F3330">
        <w:rPr>
          <w:lang w:val="el-GR"/>
        </w:rPr>
        <w:t xml:space="preserve">. </w:t>
      </w:r>
      <w:r>
        <w:rPr>
          <w:lang w:val="el-GR"/>
        </w:rPr>
        <w:t>Τα ευρήματα αυτά τροφοδοτούν τις προτάσεις που αφορούν την εφαρμογή του θεσμικού πλαισίου για την πρόληψη και την αντιμετώπιση της ενδοοικογενειακής βίας (Κεφάλαιο 10).</w:t>
      </w:r>
    </w:p>
    <w:p w14:paraId="4039F32D" w14:textId="77777777" w:rsidR="00E63D5B" w:rsidRPr="00132066" w:rsidRDefault="001F059D">
      <w:pPr>
        <w:pStyle w:val="1"/>
        <w:pageBreakBefore/>
        <w:rPr>
          <w:lang w:val="el-GR"/>
        </w:rPr>
      </w:pPr>
      <w:bookmarkStart w:id="22" w:name="_Toc242134427"/>
      <w:r>
        <w:rPr>
          <w:lang w:val="el-GR"/>
        </w:rPr>
        <w:lastRenderedPageBreak/>
        <w:t>4. Καλές Πρακτικές και Προγράμματα Παρέμβασης</w:t>
      </w:r>
      <w:bookmarkEnd w:id="22"/>
    </w:p>
    <w:p w14:paraId="0A32DC45" w14:textId="37CC1DCC" w:rsidR="00E63D5B" w:rsidRPr="00132066" w:rsidRDefault="001F059D">
      <w:pPr>
        <w:rPr>
          <w:lang w:val="el-GR"/>
        </w:rPr>
      </w:pPr>
      <w:r>
        <w:rPr>
          <w:lang w:val="el-GR"/>
        </w:rPr>
        <w:t xml:space="preserve">Το Κεφάλαιο αυτό ανασκοπεί τη διεθνή τεκμηρίωση για τις παρεμβάσεις που μπορούν να διακόψουν τη </w:t>
      </w:r>
      <w:proofErr w:type="spellStart"/>
      <w:r>
        <w:rPr>
          <w:lang w:val="el-GR"/>
        </w:rPr>
        <w:t>διαγενεακή</w:t>
      </w:r>
      <w:proofErr w:type="spellEnd"/>
      <w:r>
        <w:rPr>
          <w:lang w:val="el-GR"/>
        </w:rPr>
        <w:t xml:space="preserve"> μετάδοση της βίας και του τραύματος. Βασική παραδοχή είναι ότι η παύση της βίας αποτελεί αναγκαία αλλά όχι επαρκή συνθήκη: δεν αναιρεί αυτόματα τις ψυχολογικές, αναπτυξιακές και σχεσιακές συνέπειες που έχουν ήδη διαμορφωθεί για τις επιζώσες και τα παιδιά τους (</w:t>
      </w:r>
      <w:r>
        <w:t>Lambert</w:t>
      </w:r>
      <w:r>
        <w:rPr>
          <w:lang w:val="el-GR"/>
        </w:rPr>
        <w:t xml:space="preserve"> </w:t>
      </w:r>
      <w:r>
        <w:t>et</w:t>
      </w:r>
      <w:r>
        <w:rPr>
          <w:lang w:val="el-GR"/>
        </w:rPr>
        <w:t xml:space="preserve"> </w:t>
      </w:r>
      <w:r>
        <w:t>al</w:t>
      </w:r>
      <w:r>
        <w:rPr>
          <w:lang w:val="el-GR"/>
        </w:rPr>
        <w:t>., 2014·</w:t>
      </w:r>
      <w:r>
        <w:t>Van</w:t>
      </w:r>
      <w:r>
        <w:rPr>
          <w:lang w:val="el-GR"/>
        </w:rPr>
        <w:t xml:space="preserve"> </w:t>
      </w:r>
      <w:r>
        <w:t>Ee</w:t>
      </w:r>
      <w:r>
        <w:rPr>
          <w:lang w:val="el-GR"/>
        </w:rPr>
        <w:t xml:space="preserve"> </w:t>
      </w:r>
      <w:r>
        <w:t>et</w:t>
      </w:r>
      <w:r>
        <w:rPr>
          <w:lang w:val="el-GR"/>
        </w:rPr>
        <w:t xml:space="preserve"> </w:t>
      </w:r>
      <w:r>
        <w:t>al</w:t>
      </w:r>
      <w:r>
        <w:rPr>
          <w:lang w:val="el-GR"/>
        </w:rPr>
        <w:t xml:space="preserve">., 2016). Η διεθνής βιβλιογραφία δείχνει ότι οι ολοκληρωμένες, διεπιστημονικές και </w:t>
      </w:r>
      <w:proofErr w:type="spellStart"/>
      <w:r>
        <w:rPr>
          <w:lang w:val="el-GR"/>
        </w:rPr>
        <w:t>πολυεπίπεδες</w:t>
      </w:r>
      <w:proofErr w:type="spellEnd"/>
      <w:r>
        <w:rPr>
          <w:lang w:val="el-GR"/>
        </w:rPr>
        <w:t xml:space="preserve"> παρεμβάσεις, οι οποίες συνδυάζουν υποστήριξη των γυναικών και των παιδιών, προγράμματα για τους δράστες και κοινοτική πρόληψη, είναι οι πλέον αποτελεσματικές (</w:t>
      </w:r>
      <w:r>
        <w:t>Isobel</w:t>
      </w:r>
      <w:r>
        <w:rPr>
          <w:lang w:val="el-GR"/>
        </w:rPr>
        <w:t xml:space="preserve"> </w:t>
      </w:r>
      <w:r>
        <w:t>et</w:t>
      </w:r>
      <w:r>
        <w:rPr>
          <w:lang w:val="el-GR"/>
        </w:rPr>
        <w:t xml:space="preserve"> </w:t>
      </w:r>
      <w:r>
        <w:t>al</w:t>
      </w:r>
      <w:r>
        <w:rPr>
          <w:lang w:val="el-GR"/>
        </w:rPr>
        <w:t>., 2019). Παράλληλα, τονίζεται ότι η πλειονότητα των γονέων με ιστορικό τραύματος δεν αναπαράγουν τη βία και μπορούν να αναπτύξουν ασφαλείς και προστατευτικές σχέσεις με τα παιδιά τους (</w:t>
      </w:r>
      <w:r>
        <w:t>Lieberman</w:t>
      </w:r>
      <w:r>
        <w:rPr>
          <w:lang w:val="el-GR"/>
        </w:rPr>
        <w:t xml:space="preserve"> </w:t>
      </w:r>
      <w:r>
        <w:t>et</w:t>
      </w:r>
      <w:r>
        <w:rPr>
          <w:lang w:val="el-GR"/>
        </w:rPr>
        <w:t xml:space="preserve"> </w:t>
      </w:r>
      <w:r>
        <w:t>al</w:t>
      </w:r>
      <w:r>
        <w:rPr>
          <w:lang w:val="el-GR"/>
        </w:rPr>
        <w:t>., 2005·</w:t>
      </w:r>
      <w:r>
        <w:t>Masten</w:t>
      </w:r>
      <w:r>
        <w:rPr>
          <w:lang w:val="el-GR"/>
        </w:rPr>
        <w:t>, 2001).</w:t>
      </w:r>
    </w:p>
    <w:p w14:paraId="5C38EB27" w14:textId="77777777" w:rsidR="00E63D5B" w:rsidRPr="00132066" w:rsidRDefault="001F059D">
      <w:pPr>
        <w:pStyle w:val="20"/>
        <w:rPr>
          <w:lang w:val="el-GR"/>
        </w:rPr>
      </w:pPr>
      <w:bookmarkStart w:id="23" w:name="_Toc242134428"/>
      <w:r>
        <w:rPr>
          <w:lang w:val="el-GR"/>
        </w:rPr>
        <w:t>4.1 Θεμελιώδεις αρχές</w:t>
      </w:r>
      <w:bookmarkEnd w:id="23"/>
    </w:p>
    <w:p w14:paraId="0EA217D4" w14:textId="77777777" w:rsidR="00E63D5B" w:rsidRPr="00132066" w:rsidRDefault="001F059D">
      <w:pPr>
        <w:rPr>
          <w:lang w:val="el-GR"/>
        </w:rPr>
      </w:pPr>
      <w:r>
        <w:rPr>
          <w:lang w:val="el-GR"/>
        </w:rPr>
        <w:t>Πρώτη θεμελιώδης αρχή είναι η ασφάλεια. Σύμφωνα με το σταδιακό μοντέλο αποκατάστασης του τραύματος, η θεραπευτική επεξεργασία δεν μπορεί να προηγείται της προστασίας από την τρέχουσα ή επαπειλούμενη βία (</w:t>
      </w:r>
      <w:r>
        <w:t>Herman</w:t>
      </w:r>
      <w:r>
        <w:rPr>
          <w:lang w:val="el-GR"/>
        </w:rPr>
        <w:t>, 1992). Η προστασία αφορά και τα παιδιά, ακόμη και όταν δεν έχουν υποστεί άμεση σωματική κακοποίηση, και επεκτείνεται στην περίοδο μετά τον χωρισμό, όταν ο δράστης μπορεί να αξιοποιεί την επικοινωνία με τα παιδιά, τις διαδικασίες επιμέλειας ή τις δικαστικές διαμάχες για να διατηρήσει τον έλεγχο (</w:t>
      </w:r>
      <w:r>
        <w:t>Spearman</w:t>
      </w:r>
      <w:r>
        <w:rPr>
          <w:lang w:val="el-GR"/>
        </w:rPr>
        <w:t xml:space="preserve"> </w:t>
      </w:r>
      <w:r>
        <w:t>et</w:t>
      </w:r>
      <w:r>
        <w:rPr>
          <w:lang w:val="el-GR"/>
        </w:rPr>
        <w:t xml:space="preserve"> </w:t>
      </w:r>
      <w:r>
        <w:t>al</w:t>
      </w:r>
      <w:r>
        <w:rPr>
          <w:lang w:val="el-GR"/>
        </w:rPr>
        <w:t>., 2024·</w:t>
      </w:r>
      <w:r>
        <w:t>Stark</w:t>
      </w:r>
      <w:r>
        <w:rPr>
          <w:lang w:val="el-GR"/>
        </w:rPr>
        <w:t xml:space="preserve">, 2007). Η </w:t>
      </w:r>
      <w:r>
        <w:t>GREVIO</w:t>
      </w:r>
      <w:r>
        <w:rPr>
          <w:lang w:val="el-GR"/>
        </w:rPr>
        <w:t xml:space="preserve"> (2023) έχει επισημάνει για την Ελλάδα ότι το ιστορικό ενδοοικογενειακής βίας δεν συνεκτιμάται πάντοτε επαρκώς στις αποφάσεις επιμέλειας και επικοινωνίας.</w:t>
      </w:r>
    </w:p>
    <w:p w14:paraId="7B78DFA0" w14:textId="0563E631" w:rsidR="00E63D5B" w:rsidRPr="00132066" w:rsidRDefault="001F059D">
      <w:pPr>
        <w:rPr>
          <w:lang w:val="el-GR"/>
        </w:rPr>
      </w:pPr>
      <w:r>
        <w:rPr>
          <w:lang w:val="el-GR"/>
        </w:rPr>
        <w:t>Δεύτερη αρχή είναι η φροντίδα η ενήμερη ως προς το τραύμα και επικεντρωμένη στην επιζώσα. Δεν πρόκειται για συγκεκριμένη ψυχοθεραπεία, αλλά για τρόπο οργάνωσης όλων των υπηρεσιών γύρω από έξι αρχές (</w:t>
      </w:r>
      <w:r>
        <w:t>Substance</w:t>
      </w:r>
      <w:r>
        <w:rPr>
          <w:lang w:val="el-GR"/>
        </w:rPr>
        <w:t xml:space="preserve"> </w:t>
      </w:r>
      <w:r>
        <w:t>Abuse</w:t>
      </w:r>
      <w:r>
        <w:rPr>
          <w:lang w:val="el-GR"/>
        </w:rPr>
        <w:t xml:space="preserve"> </w:t>
      </w:r>
      <w:r>
        <w:t>and</w:t>
      </w:r>
      <w:r>
        <w:rPr>
          <w:lang w:val="el-GR"/>
        </w:rPr>
        <w:t xml:space="preserve"> </w:t>
      </w:r>
      <w:r>
        <w:t>Mental</w:t>
      </w:r>
      <w:r>
        <w:rPr>
          <w:lang w:val="el-GR"/>
        </w:rPr>
        <w:t xml:space="preserve"> </w:t>
      </w:r>
      <w:r>
        <w:t>Health</w:t>
      </w:r>
      <w:r>
        <w:rPr>
          <w:lang w:val="el-GR"/>
        </w:rPr>
        <w:t xml:space="preserve"> </w:t>
      </w:r>
      <w:r>
        <w:t>Services</w:t>
      </w:r>
      <w:r>
        <w:rPr>
          <w:lang w:val="el-GR"/>
        </w:rPr>
        <w:t xml:space="preserve"> </w:t>
      </w:r>
      <w:r>
        <w:t>Administration</w:t>
      </w:r>
      <w:r>
        <w:rPr>
          <w:lang w:val="el-GR"/>
        </w:rPr>
        <w:t xml:space="preserve"> [</w:t>
      </w:r>
      <w:r>
        <w:t>SAMHSA</w:t>
      </w:r>
      <w:r>
        <w:rPr>
          <w:lang w:val="el-GR"/>
        </w:rPr>
        <w:t xml:space="preserve">], 2014): σωματική και συναισθηματική ασφάλεια, αξιοπιστία και διαφάνεια, υποστήριξη από ομότιμες, συνεργασία, ενδυνάμωση και δυνατότητα επιλογής, ανταπόκριση σε πολιτισμικά και </w:t>
      </w:r>
      <w:proofErr w:type="spellStart"/>
      <w:r>
        <w:rPr>
          <w:lang w:val="el-GR"/>
        </w:rPr>
        <w:t>έμφυλα</w:t>
      </w:r>
      <w:proofErr w:type="spellEnd"/>
      <w:r>
        <w:rPr>
          <w:lang w:val="el-GR"/>
        </w:rPr>
        <w:t xml:space="preserve"> ζητήματα. Στο επίπεδο της καθημερινής λειτουργίας των υπηρεσιών (</w:t>
      </w:r>
      <w:r>
        <w:t>Wilson</w:t>
      </w:r>
      <w:r>
        <w:rPr>
          <w:lang w:val="el-GR"/>
        </w:rPr>
        <w:t xml:space="preserve"> </w:t>
      </w:r>
      <w:r>
        <w:t>et</w:t>
      </w:r>
      <w:r>
        <w:rPr>
          <w:lang w:val="el-GR"/>
        </w:rPr>
        <w:t xml:space="preserve"> </w:t>
      </w:r>
      <w:r>
        <w:t>al</w:t>
      </w:r>
      <w:r>
        <w:rPr>
          <w:lang w:val="el-GR"/>
        </w:rPr>
        <w:t xml:space="preserve">., 2015), οι αρχές αυτές μεταφράζονται σε </w:t>
      </w:r>
      <w:proofErr w:type="spellStart"/>
      <w:r>
        <w:rPr>
          <w:lang w:val="el-GR"/>
        </w:rPr>
        <w:t>ιδιωτικότητα</w:t>
      </w:r>
      <w:proofErr w:type="spellEnd"/>
      <w:r>
        <w:rPr>
          <w:lang w:val="el-GR"/>
        </w:rPr>
        <w:t>, σαφή ενημέρωση πριν από κάθε διαδικασία, συναίνεση, δυνατότητα επιλογής επαγγελματία και ρυθμού, αποφυγή της επαναλαμβανόμενης αφήγησης της κακοποίησης σε πολλούς/</w:t>
      </w:r>
      <w:proofErr w:type="spellStart"/>
      <w:r>
        <w:rPr>
          <w:lang w:val="el-GR"/>
        </w:rPr>
        <w:t>ές</w:t>
      </w:r>
      <w:proofErr w:type="spellEnd"/>
      <w:r>
        <w:rPr>
          <w:lang w:val="el-GR"/>
        </w:rPr>
        <w:t xml:space="preserve"> διαφορετικούς/</w:t>
      </w:r>
      <w:proofErr w:type="spellStart"/>
      <w:r>
        <w:rPr>
          <w:lang w:val="el-GR"/>
        </w:rPr>
        <w:t>ές</w:t>
      </w:r>
      <w:proofErr w:type="spellEnd"/>
      <w:r>
        <w:rPr>
          <w:lang w:val="el-GR"/>
        </w:rPr>
        <w:t xml:space="preserve"> επαγγελματίες και ενεργητική συμμετοχή των γυναικών στις αποφάσεις. Η τεκμηρίωση είναι θετική αλλά όχι οριστική: η </w:t>
      </w:r>
      <w:proofErr w:type="spellStart"/>
      <w:r>
        <w:rPr>
          <w:lang w:val="el-GR"/>
        </w:rPr>
        <w:t>μετα</w:t>
      </w:r>
      <w:proofErr w:type="spellEnd"/>
      <w:r>
        <w:rPr>
          <w:lang w:val="el-GR"/>
        </w:rPr>
        <w:t>-ανάλυση 13 τυχαιοποιημένων μελετών (</w:t>
      </w:r>
      <w:r>
        <w:t>Chu</w:t>
      </w:r>
      <w:r>
        <w:rPr>
          <w:lang w:val="el-GR"/>
        </w:rPr>
        <w:t xml:space="preserve"> </w:t>
      </w:r>
      <w:r>
        <w:t>et</w:t>
      </w:r>
      <w:r>
        <w:rPr>
          <w:lang w:val="el-GR"/>
        </w:rPr>
        <w:t xml:space="preserve"> </w:t>
      </w:r>
      <w:r>
        <w:t>al</w:t>
      </w:r>
      <w:r>
        <w:rPr>
          <w:lang w:val="el-GR"/>
        </w:rPr>
        <w:t xml:space="preserve">., 2024) κατέγραψε βελτιώσεις στην κατάθλιψη και το άγχος, με λιγότερο σταθερά μακροπρόθεσμα αποτελέσματα για τη ΔΜΤΣ, ενώ η ανασκόπηση των </w:t>
      </w:r>
      <w:r>
        <w:t>Ross</w:t>
      </w:r>
      <w:r>
        <w:rPr>
          <w:lang w:val="el-GR"/>
        </w:rPr>
        <w:t xml:space="preserve"> </w:t>
      </w:r>
      <w:r>
        <w:t>et</w:t>
      </w:r>
      <w:r>
        <w:rPr>
          <w:lang w:val="el-GR"/>
        </w:rPr>
        <w:t xml:space="preserve"> </w:t>
      </w:r>
      <w:r>
        <w:t>al</w:t>
      </w:r>
      <w:r>
        <w:rPr>
          <w:lang w:val="el-GR"/>
        </w:rPr>
        <w:t xml:space="preserve">. (2026) έδειξε ότι η ουσιαστική συμμετοχή των γυναικών στις υπηρεσίες συνδέεται με την εμπειρία ασφάλειας, εμπιστοσύνης και ενδυνάμωσης. Οι ίδιες οι επιζώσες, ωστόσο, εντοπίζουν αστοχίες: βραχύχρονες υπηρεσίες, λίστες αναμονής, πολιτισμικά ακατάλληλο περιεχόμενο και, κυρίως, την αμφισβήτηση της αξιοπιστίας τους και τη λήψη αποφάσεων χωρίς τη συμμετοχή τους, που οδηγούν σε δευτερογενή </w:t>
      </w:r>
      <w:proofErr w:type="spellStart"/>
      <w:r>
        <w:rPr>
          <w:lang w:val="el-GR"/>
        </w:rPr>
        <w:t>θυματοποίηση</w:t>
      </w:r>
      <w:proofErr w:type="spellEnd"/>
      <w:r>
        <w:rPr>
          <w:lang w:val="el-GR"/>
        </w:rPr>
        <w:t xml:space="preserve"> (</w:t>
      </w:r>
      <w:r>
        <w:t>Kulkarni</w:t>
      </w:r>
      <w:r>
        <w:rPr>
          <w:lang w:val="el-GR"/>
        </w:rPr>
        <w:t>, 2019·</w:t>
      </w:r>
      <w:r>
        <w:t>Ross</w:t>
      </w:r>
      <w:r>
        <w:rPr>
          <w:lang w:val="el-GR"/>
        </w:rPr>
        <w:t xml:space="preserve"> </w:t>
      </w:r>
      <w:r>
        <w:t>et</w:t>
      </w:r>
      <w:r>
        <w:rPr>
          <w:lang w:val="el-GR"/>
        </w:rPr>
        <w:t xml:space="preserve"> </w:t>
      </w:r>
      <w:r>
        <w:t>al</w:t>
      </w:r>
      <w:r>
        <w:rPr>
          <w:lang w:val="el-GR"/>
        </w:rPr>
        <w:t>., 2026).</w:t>
      </w:r>
    </w:p>
    <w:p w14:paraId="6728057E" w14:textId="77777777" w:rsidR="00E63D5B" w:rsidRPr="00132066" w:rsidRDefault="001F059D">
      <w:pPr>
        <w:pStyle w:val="20"/>
        <w:rPr>
          <w:lang w:val="el-GR"/>
        </w:rPr>
      </w:pPr>
      <w:bookmarkStart w:id="24" w:name="_Toc242134429"/>
      <w:r>
        <w:rPr>
          <w:lang w:val="el-GR"/>
        </w:rPr>
        <w:t>4.2 Θεραπευτικό συνεχές για τις επιζώσες, τα παιδιά και τη σχέση τους</w:t>
      </w:r>
      <w:bookmarkEnd w:id="24"/>
    </w:p>
    <w:p w14:paraId="0567A318" w14:textId="77777777" w:rsidR="00E63D5B" w:rsidRPr="00132066" w:rsidRDefault="001F059D">
      <w:pPr>
        <w:rPr>
          <w:lang w:val="el-GR"/>
        </w:rPr>
      </w:pPr>
      <w:r>
        <w:rPr>
          <w:lang w:val="el-GR"/>
        </w:rPr>
        <w:t xml:space="preserve">Το ψυχολογικό τραύμα των μητέρων μπορεί να επηρεάζει τη γονεϊκή λειτουργία με συγκεκριμένους τρόπους: η υπερδιέγερση οδηγεί σε εντονότερες αντιδράσεις στο κλάμα ή την ανυπακοή, η αποφυγή και το συναισθηματικό μούδιασμα περιορίζουν τη διαθεσιμότητα για τρυφερότητα και παιχνίδι, η </w:t>
      </w:r>
      <w:r>
        <w:rPr>
          <w:lang w:val="el-GR"/>
        </w:rPr>
        <w:lastRenderedPageBreak/>
        <w:t>αποσύνδεση δυσχεραίνει την αναγνώριση των σημάτων του παιδιού (</w:t>
      </w:r>
      <w:r>
        <w:t>Van</w:t>
      </w:r>
      <w:r>
        <w:rPr>
          <w:lang w:val="el-GR"/>
        </w:rPr>
        <w:t xml:space="preserve"> </w:t>
      </w:r>
      <w:r>
        <w:t>Ee</w:t>
      </w:r>
      <w:r>
        <w:rPr>
          <w:lang w:val="el-GR"/>
        </w:rPr>
        <w:t xml:space="preserve"> </w:t>
      </w:r>
      <w:r>
        <w:t>et</w:t>
      </w:r>
      <w:r>
        <w:rPr>
          <w:lang w:val="el-GR"/>
        </w:rPr>
        <w:t xml:space="preserve"> </w:t>
      </w:r>
      <w:r>
        <w:t>al</w:t>
      </w:r>
      <w:r>
        <w:rPr>
          <w:lang w:val="el-GR"/>
        </w:rPr>
        <w:t xml:space="preserve">., 2016). Η θεραπεία οργανώνεται γύρω από το μοντέλο της </w:t>
      </w:r>
      <w:r>
        <w:t>Herman</w:t>
      </w:r>
      <w:r>
        <w:rPr>
          <w:lang w:val="el-GR"/>
        </w:rPr>
        <w:t xml:space="preserve"> (1992, 2023): ασφάλεια, ενθύμηση και πένθος, επανασύνδεση και, στη νεότερη διατύπωση (2023), δικαιοσύνη, η οποία δεν ταυτίζεται με την ποινική καταδίκη αλλά περιλαμβάνει την κοινωνική αναγνώριση της αδικίας. Η βιβλιογραφία δεν αναδεικνύει μία μοναδική κατάλληλη θεραπεία για το σύνθετο τραύμα (</w:t>
      </w:r>
      <w:r>
        <w:t>Courtois</w:t>
      </w:r>
      <w:r>
        <w:rPr>
          <w:lang w:val="el-GR"/>
        </w:rPr>
        <w:t xml:space="preserve">, 2004 </w:t>
      </w:r>
      <w:proofErr w:type="spellStart"/>
      <w:r>
        <w:t>Karatzias</w:t>
      </w:r>
      <w:proofErr w:type="spellEnd"/>
      <w:r>
        <w:rPr>
          <w:lang w:val="el-GR"/>
        </w:rPr>
        <w:t xml:space="preserve"> </w:t>
      </w:r>
      <w:r>
        <w:t>et</w:t>
      </w:r>
      <w:r>
        <w:rPr>
          <w:lang w:val="el-GR"/>
        </w:rPr>
        <w:t xml:space="preserve"> </w:t>
      </w:r>
      <w:r>
        <w:t>al</w:t>
      </w:r>
      <w:r>
        <w:rPr>
          <w:lang w:val="el-GR"/>
        </w:rPr>
        <w:t>., 2019): μπορούν να αξιοποιηθούν εστιασμένες στο τραύμα γνωσιακές-</w:t>
      </w:r>
      <w:proofErr w:type="spellStart"/>
      <w:r>
        <w:rPr>
          <w:lang w:val="el-GR"/>
        </w:rPr>
        <w:t>συμπεριφορικές</w:t>
      </w:r>
      <w:proofErr w:type="spellEnd"/>
      <w:r>
        <w:rPr>
          <w:lang w:val="el-GR"/>
        </w:rPr>
        <w:t xml:space="preserve"> παρεμβάσεις, </w:t>
      </w:r>
      <w:r>
        <w:t>EMDR</w:t>
      </w:r>
      <w:r>
        <w:rPr>
          <w:lang w:val="el-GR"/>
        </w:rPr>
        <w:t xml:space="preserve"> (</w:t>
      </w:r>
      <w:r>
        <w:t>Shapiro</w:t>
      </w:r>
      <w:r>
        <w:rPr>
          <w:lang w:val="el-GR"/>
        </w:rPr>
        <w:t>, 2001), ψυχοδυναμικές και σχεσιακές προσεγγίσεις, ανάλογα με τις ανάγκες και τις προτιμήσεις των γυναικών. Η μείωση των συμπτωμάτων της μητέρας, ωστόσο, δεν συνεπάγεται αυτόματα αλλαγή της σχέσης με το παιδί (</w:t>
      </w:r>
      <w:r>
        <w:t>Isobel</w:t>
      </w:r>
      <w:r>
        <w:rPr>
          <w:lang w:val="el-GR"/>
        </w:rPr>
        <w:t xml:space="preserve"> </w:t>
      </w:r>
      <w:r>
        <w:t>et</w:t>
      </w:r>
      <w:r>
        <w:rPr>
          <w:lang w:val="el-GR"/>
        </w:rPr>
        <w:t xml:space="preserve"> </w:t>
      </w:r>
      <w:r>
        <w:t>al</w:t>
      </w:r>
      <w:r>
        <w:rPr>
          <w:lang w:val="el-GR"/>
        </w:rPr>
        <w:t>., 2019·</w:t>
      </w:r>
      <w:r>
        <w:t>Lieberman</w:t>
      </w:r>
      <w:r>
        <w:rPr>
          <w:lang w:val="el-GR"/>
        </w:rPr>
        <w:t xml:space="preserve"> </w:t>
      </w:r>
      <w:r>
        <w:t>et</w:t>
      </w:r>
      <w:r>
        <w:rPr>
          <w:lang w:val="el-GR"/>
        </w:rPr>
        <w:t xml:space="preserve"> </w:t>
      </w:r>
      <w:r>
        <w:t>al</w:t>
      </w:r>
      <w:r>
        <w:rPr>
          <w:lang w:val="el-GR"/>
        </w:rPr>
        <w:t>., 2015).</w:t>
      </w:r>
    </w:p>
    <w:p w14:paraId="73E88DE8" w14:textId="77777777" w:rsidR="00E63D5B" w:rsidRDefault="001F059D">
      <w:pPr>
        <w:rPr>
          <w:lang w:val="el-GR"/>
        </w:rPr>
      </w:pPr>
      <w:r>
        <w:rPr>
          <w:lang w:val="el-GR"/>
        </w:rPr>
        <w:t xml:space="preserve">Οι </w:t>
      </w:r>
      <w:proofErr w:type="spellStart"/>
      <w:r>
        <w:rPr>
          <w:lang w:val="el-GR"/>
        </w:rPr>
        <w:t>σχεσιοκεντρικές</w:t>
      </w:r>
      <w:proofErr w:type="spellEnd"/>
      <w:r>
        <w:rPr>
          <w:lang w:val="el-GR"/>
        </w:rPr>
        <w:t xml:space="preserve"> παρεμβάσεις εργάζονται ταυτόχρονα με τον/τη γονέα και το παιδί και αντιμετωπίζουν τη μεταξύ τους σχέση ως το βασικό όχημα αποκατάστασης. Ενισχύουν την ικανότητα του/της γονέα να παρατηρεί και να ερμηνεύει με ακρίβεια τα σήματα του παιδιού (γονεϊκή </w:t>
      </w:r>
      <w:proofErr w:type="spellStart"/>
      <w:r>
        <w:rPr>
          <w:lang w:val="el-GR"/>
        </w:rPr>
        <w:t>αναστοχαστική</w:t>
      </w:r>
      <w:proofErr w:type="spellEnd"/>
      <w:r>
        <w:rPr>
          <w:lang w:val="el-GR"/>
        </w:rPr>
        <w:t xml:space="preserve"> λειτουργία), να ανταποκρίνεται με συνέπεια και να μην παρερμηνεύει τις τραυματικές αντιδράσεις του παιδιού (επιθετικότητα, προσκόλληση, απόσυρση) ως εσκεμμένη ανυπακοή ή απόρριψη (</w:t>
      </w:r>
      <w:r>
        <w:t>Fraiberg</w:t>
      </w:r>
      <w:r>
        <w:rPr>
          <w:lang w:val="el-GR"/>
        </w:rPr>
        <w:t xml:space="preserve"> </w:t>
      </w:r>
      <w:r>
        <w:t>et</w:t>
      </w:r>
      <w:r>
        <w:rPr>
          <w:lang w:val="el-GR"/>
        </w:rPr>
        <w:t xml:space="preserve"> </w:t>
      </w:r>
      <w:r>
        <w:t>al</w:t>
      </w:r>
      <w:r>
        <w:rPr>
          <w:lang w:val="el-GR"/>
        </w:rPr>
        <w:t>., 1975·</w:t>
      </w:r>
      <w:r>
        <w:t>Slade</w:t>
      </w:r>
      <w:r>
        <w:rPr>
          <w:lang w:val="el-GR"/>
        </w:rPr>
        <w:t>, 2005).</w:t>
      </w:r>
    </w:p>
    <w:p w14:paraId="7EC455E8" w14:textId="5D8041E8" w:rsidR="00E77285" w:rsidRPr="00E77285" w:rsidRDefault="00E77285" w:rsidP="00E77285">
      <w:pPr>
        <w:keepNext/>
        <w:spacing w:after="60"/>
        <w:jc w:val="left"/>
        <w:rPr>
          <w:lang w:val="el-GR"/>
        </w:rPr>
      </w:pPr>
      <w:r w:rsidRPr="009C3AC6">
        <w:rPr>
          <w:b/>
          <w:bCs/>
          <w:sz w:val="20"/>
          <w:szCs w:val="20"/>
          <w:lang w:val="el-GR"/>
        </w:rPr>
        <w:t xml:space="preserve">Πίνακας </w:t>
      </w:r>
      <w:r w:rsidR="00CC29AE">
        <w:rPr>
          <w:b/>
          <w:bCs/>
          <w:sz w:val="20"/>
          <w:szCs w:val="20"/>
          <w:lang w:val="el-GR"/>
        </w:rPr>
        <w:t>2</w:t>
      </w:r>
      <w:r w:rsidRPr="009C3AC6">
        <w:rPr>
          <w:b/>
          <w:bCs/>
          <w:sz w:val="20"/>
          <w:szCs w:val="20"/>
          <w:lang w:val="el-GR"/>
        </w:rPr>
        <w:t xml:space="preserve">. </w:t>
      </w:r>
      <w:r w:rsidRPr="009C3AC6">
        <w:rPr>
          <w:i/>
          <w:iCs/>
          <w:sz w:val="20"/>
          <w:szCs w:val="20"/>
          <w:lang w:val="el-GR"/>
        </w:rPr>
        <w:t>Τεκμηριωμένα προγράμματα παρέμβασης που εξετάζει η έκθεση</w:t>
      </w:r>
    </w:p>
    <w:tbl>
      <w:tblPr>
        <w:tblStyle w:val="aff4"/>
        <w:tblW w:w="9072" w:type="dxa"/>
        <w:jc w:val="center"/>
        <w:tblLayout w:type="fixed"/>
        <w:tblLook w:val="0400" w:firstRow="0" w:lastRow="0" w:firstColumn="0" w:lastColumn="0" w:noHBand="0" w:noVBand="1"/>
      </w:tblPr>
      <w:tblGrid>
        <w:gridCol w:w="2268"/>
        <w:gridCol w:w="2268"/>
        <w:gridCol w:w="2268"/>
        <w:gridCol w:w="2268"/>
      </w:tblGrid>
      <w:tr w:rsidR="00E77285" w:rsidRPr="009C3AC6" w14:paraId="71254434" w14:textId="77777777" w:rsidTr="00CD189F">
        <w:trPr>
          <w:jc w:val="center"/>
        </w:trPr>
        <w:tc>
          <w:tcPr>
            <w:tcW w:w="2268" w:type="dxa"/>
            <w:tcBorders>
              <w:top w:val="single" w:sz="4" w:space="0" w:color="BFBFBF"/>
              <w:left w:val="single" w:sz="4" w:space="0" w:color="BFBFBF"/>
              <w:bottom w:val="single" w:sz="4" w:space="0" w:color="BFBFBF"/>
              <w:right w:val="single" w:sz="4" w:space="0" w:color="BFBFBF"/>
            </w:tcBorders>
            <w:shd w:val="clear" w:color="auto" w:fill="4A6FA5"/>
          </w:tcPr>
          <w:p w14:paraId="4D20B2E5" w14:textId="0B23CC67" w:rsidR="00E77285" w:rsidRPr="00E77285" w:rsidRDefault="00E77285" w:rsidP="00CD189F">
            <w:pPr>
              <w:spacing w:after="40" w:line="240" w:lineRule="auto"/>
              <w:jc w:val="left"/>
            </w:pPr>
            <w:proofErr w:type="spellStart"/>
            <w:r w:rsidRPr="009C3AC6">
              <w:rPr>
                <w:b/>
                <w:bCs/>
                <w:sz w:val="19"/>
                <w:szCs w:val="19"/>
              </w:rPr>
              <w:t>Πρόγρ</w:t>
            </w:r>
            <w:proofErr w:type="spellEnd"/>
            <w:r w:rsidRPr="009C3AC6">
              <w:rPr>
                <w:b/>
                <w:bCs/>
                <w:sz w:val="19"/>
                <w:szCs w:val="19"/>
              </w:rPr>
              <w:t>αμμα</w:t>
            </w:r>
          </w:p>
        </w:tc>
        <w:tc>
          <w:tcPr>
            <w:tcW w:w="2268" w:type="dxa"/>
            <w:tcBorders>
              <w:top w:val="single" w:sz="4" w:space="0" w:color="BFBFBF"/>
              <w:left w:val="single" w:sz="4" w:space="0" w:color="BFBFBF"/>
              <w:bottom w:val="single" w:sz="4" w:space="0" w:color="BFBFBF"/>
              <w:right w:val="single" w:sz="4" w:space="0" w:color="BFBFBF"/>
            </w:tcBorders>
            <w:shd w:val="clear" w:color="auto" w:fill="4A6FA5"/>
          </w:tcPr>
          <w:p w14:paraId="7A7BE0B7" w14:textId="77777777" w:rsidR="00E77285" w:rsidRPr="00E77285" w:rsidRDefault="00E77285" w:rsidP="00CD189F">
            <w:pPr>
              <w:spacing w:after="40" w:line="240" w:lineRule="auto"/>
              <w:jc w:val="left"/>
            </w:pPr>
            <w:proofErr w:type="spellStart"/>
            <w:r w:rsidRPr="009C3AC6">
              <w:rPr>
                <w:b/>
                <w:bCs/>
                <w:sz w:val="19"/>
                <w:szCs w:val="19"/>
              </w:rPr>
              <w:t>Σε</w:t>
            </w:r>
            <w:proofErr w:type="spellEnd"/>
            <w:r w:rsidRPr="009C3AC6">
              <w:rPr>
                <w:b/>
                <w:bCs/>
                <w:sz w:val="19"/>
                <w:szCs w:val="19"/>
              </w:rPr>
              <w:t xml:space="preserve"> π</w:t>
            </w:r>
            <w:proofErr w:type="spellStart"/>
            <w:r w:rsidRPr="009C3AC6">
              <w:rPr>
                <w:b/>
                <w:bCs/>
                <w:sz w:val="19"/>
                <w:szCs w:val="19"/>
              </w:rPr>
              <w:t>οιους</w:t>
            </w:r>
            <w:proofErr w:type="spellEnd"/>
            <w:r w:rsidRPr="009C3AC6">
              <w:rPr>
                <w:b/>
                <w:bCs/>
                <w:sz w:val="19"/>
                <w:szCs w:val="19"/>
                <w:lang w:val="el-GR"/>
              </w:rPr>
              <w:t>/ες</w:t>
            </w:r>
            <w:r w:rsidRPr="009C3AC6">
              <w:rPr>
                <w:b/>
                <w:bCs/>
                <w:sz w:val="19"/>
                <w:szCs w:val="19"/>
              </w:rPr>
              <w:t xml:space="preserve"> απ</w:t>
            </w:r>
            <w:proofErr w:type="spellStart"/>
            <w:r w:rsidRPr="009C3AC6">
              <w:rPr>
                <w:b/>
                <w:bCs/>
                <w:sz w:val="19"/>
                <w:szCs w:val="19"/>
              </w:rPr>
              <w:t>ευθύνετ</w:t>
            </w:r>
            <w:proofErr w:type="spellEnd"/>
            <w:r w:rsidRPr="009C3AC6">
              <w:rPr>
                <w:b/>
                <w:bCs/>
                <w:sz w:val="19"/>
                <w:szCs w:val="19"/>
              </w:rPr>
              <w:t>αι</w:t>
            </w:r>
          </w:p>
        </w:tc>
        <w:tc>
          <w:tcPr>
            <w:tcW w:w="2268" w:type="dxa"/>
            <w:tcBorders>
              <w:top w:val="single" w:sz="4" w:space="0" w:color="BFBFBF"/>
              <w:left w:val="single" w:sz="4" w:space="0" w:color="BFBFBF"/>
              <w:bottom w:val="single" w:sz="4" w:space="0" w:color="BFBFBF"/>
              <w:right w:val="single" w:sz="4" w:space="0" w:color="BFBFBF"/>
            </w:tcBorders>
            <w:shd w:val="clear" w:color="auto" w:fill="4A6FA5"/>
          </w:tcPr>
          <w:p w14:paraId="7D68D166" w14:textId="77777777" w:rsidR="00E77285" w:rsidRPr="00E77285" w:rsidRDefault="00E77285" w:rsidP="00CD189F">
            <w:pPr>
              <w:spacing w:after="40" w:line="240" w:lineRule="auto"/>
              <w:jc w:val="left"/>
            </w:pPr>
            <w:proofErr w:type="spellStart"/>
            <w:r w:rsidRPr="009C3AC6">
              <w:rPr>
                <w:b/>
                <w:bCs/>
                <w:sz w:val="19"/>
                <w:szCs w:val="19"/>
              </w:rPr>
              <w:t>Τι</w:t>
            </w:r>
            <w:proofErr w:type="spellEnd"/>
            <w:r w:rsidRPr="009C3AC6">
              <w:rPr>
                <w:b/>
                <w:bCs/>
                <w:sz w:val="19"/>
                <w:szCs w:val="19"/>
              </w:rPr>
              <w:t xml:space="preserve"> </w:t>
            </w:r>
            <w:proofErr w:type="spellStart"/>
            <w:r w:rsidRPr="009C3AC6">
              <w:rPr>
                <w:b/>
                <w:bCs/>
                <w:sz w:val="19"/>
                <w:szCs w:val="19"/>
              </w:rPr>
              <w:t>κάνει</w:t>
            </w:r>
            <w:proofErr w:type="spellEnd"/>
          </w:p>
        </w:tc>
        <w:tc>
          <w:tcPr>
            <w:tcW w:w="2268" w:type="dxa"/>
            <w:tcBorders>
              <w:top w:val="single" w:sz="4" w:space="0" w:color="BFBFBF"/>
              <w:left w:val="single" w:sz="4" w:space="0" w:color="BFBFBF"/>
              <w:bottom w:val="single" w:sz="4" w:space="0" w:color="BFBFBF"/>
              <w:right w:val="single" w:sz="4" w:space="0" w:color="BFBFBF"/>
            </w:tcBorders>
            <w:shd w:val="clear" w:color="auto" w:fill="4A6FA5"/>
          </w:tcPr>
          <w:p w14:paraId="39363F40" w14:textId="77777777" w:rsidR="00E77285" w:rsidRPr="00E77285" w:rsidRDefault="00E77285" w:rsidP="00CD189F">
            <w:pPr>
              <w:spacing w:after="40" w:line="240" w:lineRule="auto"/>
              <w:jc w:val="left"/>
            </w:pPr>
            <w:proofErr w:type="spellStart"/>
            <w:r w:rsidRPr="009C3AC6">
              <w:rPr>
                <w:b/>
                <w:bCs/>
                <w:sz w:val="19"/>
                <w:szCs w:val="19"/>
              </w:rPr>
              <w:t>Τι</w:t>
            </w:r>
            <w:proofErr w:type="spellEnd"/>
            <w:r w:rsidRPr="009C3AC6">
              <w:rPr>
                <w:b/>
                <w:bCs/>
                <w:sz w:val="19"/>
                <w:szCs w:val="19"/>
              </w:rPr>
              <w:t xml:space="preserve"> </w:t>
            </w:r>
            <w:proofErr w:type="spellStart"/>
            <w:r w:rsidRPr="009C3AC6">
              <w:rPr>
                <w:b/>
                <w:bCs/>
                <w:sz w:val="19"/>
                <w:szCs w:val="19"/>
              </w:rPr>
              <w:t>δείχνει</w:t>
            </w:r>
            <w:proofErr w:type="spellEnd"/>
            <w:r w:rsidRPr="009C3AC6">
              <w:rPr>
                <w:b/>
                <w:bCs/>
                <w:sz w:val="19"/>
                <w:szCs w:val="19"/>
              </w:rPr>
              <w:t xml:space="preserve"> η </w:t>
            </w:r>
            <w:proofErr w:type="spellStart"/>
            <w:r w:rsidRPr="009C3AC6">
              <w:rPr>
                <w:b/>
                <w:bCs/>
                <w:sz w:val="19"/>
                <w:szCs w:val="19"/>
              </w:rPr>
              <w:t>τεκμηρίωση</w:t>
            </w:r>
            <w:proofErr w:type="spellEnd"/>
          </w:p>
        </w:tc>
      </w:tr>
      <w:tr w:rsidR="00E77285" w:rsidRPr="00D84B1E" w14:paraId="1736EA8A" w14:textId="77777777" w:rsidTr="00CD189F">
        <w:trPr>
          <w:jc w:val="center"/>
        </w:trPr>
        <w:tc>
          <w:tcPr>
            <w:tcW w:w="2268" w:type="dxa"/>
            <w:tcBorders>
              <w:top w:val="single" w:sz="4" w:space="0" w:color="BFBFBF"/>
              <w:left w:val="single" w:sz="4" w:space="0" w:color="BFBFBF"/>
              <w:bottom w:val="single" w:sz="4" w:space="0" w:color="BFBFBF"/>
              <w:right w:val="single" w:sz="4" w:space="0" w:color="BFBFBF"/>
            </w:tcBorders>
          </w:tcPr>
          <w:p w14:paraId="3DB66372" w14:textId="77777777" w:rsidR="00E77285" w:rsidRPr="009C3AC6" w:rsidRDefault="00E77285" w:rsidP="00CD189F">
            <w:pPr>
              <w:spacing w:after="40" w:line="240" w:lineRule="auto"/>
              <w:jc w:val="left"/>
            </w:pPr>
            <w:proofErr w:type="spellStart"/>
            <w:r w:rsidRPr="009C3AC6">
              <w:rPr>
                <w:sz w:val="19"/>
                <w:szCs w:val="19"/>
              </w:rPr>
              <w:t>Ψυχοθερ</w:t>
            </w:r>
            <w:proofErr w:type="spellEnd"/>
            <w:r w:rsidRPr="009C3AC6">
              <w:rPr>
                <w:sz w:val="19"/>
                <w:szCs w:val="19"/>
              </w:rPr>
              <w:t xml:space="preserve">απεία </w:t>
            </w:r>
            <w:proofErr w:type="spellStart"/>
            <w:r w:rsidRPr="009C3AC6">
              <w:rPr>
                <w:sz w:val="19"/>
                <w:szCs w:val="19"/>
              </w:rPr>
              <w:t>Γονέ</w:t>
            </w:r>
            <w:proofErr w:type="spellEnd"/>
            <w:r w:rsidRPr="009C3AC6">
              <w:rPr>
                <w:sz w:val="19"/>
                <w:szCs w:val="19"/>
              </w:rPr>
              <w:t>α–Παιδιού (CPP)</w:t>
            </w:r>
          </w:p>
        </w:tc>
        <w:tc>
          <w:tcPr>
            <w:tcW w:w="2268" w:type="dxa"/>
            <w:tcBorders>
              <w:top w:val="single" w:sz="4" w:space="0" w:color="BFBFBF"/>
              <w:left w:val="single" w:sz="4" w:space="0" w:color="BFBFBF"/>
              <w:bottom w:val="single" w:sz="4" w:space="0" w:color="BFBFBF"/>
              <w:right w:val="single" w:sz="4" w:space="0" w:color="BFBFBF"/>
            </w:tcBorders>
          </w:tcPr>
          <w:p w14:paraId="1911DD44" w14:textId="77777777" w:rsidR="00E77285" w:rsidRPr="009C3AC6" w:rsidRDefault="00E77285" w:rsidP="00CD189F">
            <w:pPr>
              <w:spacing w:after="40" w:line="240" w:lineRule="auto"/>
              <w:jc w:val="left"/>
              <w:rPr>
                <w:lang w:val="el-GR"/>
              </w:rPr>
            </w:pPr>
            <w:r w:rsidRPr="009C3AC6">
              <w:rPr>
                <w:sz w:val="19"/>
                <w:szCs w:val="19"/>
                <w:lang w:val="el-GR"/>
              </w:rPr>
              <w:t>Παιδιά έως 5 ετών με τραυματικές εμπειρίες και οι φροντιστές/</w:t>
            </w:r>
            <w:proofErr w:type="spellStart"/>
            <w:r w:rsidRPr="009C3AC6">
              <w:rPr>
                <w:sz w:val="19"/>
                <w:szCs w:val="19"/>
                <w:lang w:val="el-GR"/>
              </w:rPr>
              <w:t>τριές</w:t>
            </w:r>
            <w:proofErr w:type="spellEnd"/>
            <w:r w:rsidRPr="009C3AC6">
              <w:rPr>
                <w:sz w:val="19"/>
                <w:szCs w:val="19"/>
                <w:lang w:val="el-GR"/>
              </w:rPr>
              <w:t xml:space="preserve"> τους</w:t>
            </w:r>
          </w:p>
        </w:tc>
        <w:tc>
          <w:tcPr>
            <w:tcW w:w="2268" w:type="dxa"/>
            <w:tcBorders>
              <w:top w:val="single" w:sz="4" w:space="0" w:color="BFBFBF"/>
              <w:left w:val="single" w:sz="4" w:space="0" w:color="BFBFBF"/>
              <w:bottom w:val="single" w:sz="4" w:space="0" w:color="BFBFBF"/>
              <w:right w:val="single" w:sz="4" w:space="0" w:color="BFBFBF"/>
            </w:tcBorders>
          </w:tcPr>
          <w:p w14:paraId="5D622CCE" w14:textId="77777777" w:rsidR="00E77285" w:rsidRPr="009C3AC6" w:rsidRDefault="00E77285" w:rsidP="00CD189F">
            <w:pPr>
              <w:spacing w:after="40" w:line="240" w:lineRule="auto"/>
              <w:jc w:val="left"/>
              <w:rPr>
                <w:lang w:val="el-GR"/>
              </w:rPr>
            </w:pPr>
            <w:r w:rsidRPr="009C3AC6">
              <w:rPr>
                <w:sz w:val="19"/>
                <w:szCs w:val="19"/>
                <w:lang w:val="el-GR"/>
              </w:rPr>
              <w:t xml:space="preserve">Δυαδική θεραπεία με τη σχέση ως μέσο </w:t>
            </w:r>
            <w:proofErr w:type="spellStart"/>
            <w:r w:rsidRPr="009C3AC6">
              <w:rPr>
                <w:sz w:val="19"/>
                <w:szCs w:val="19"/>
                <w:lang w:val="el-GR"/>
              </w:rPr>
              <w:t>αλλαγής·ειδικά</w:t>
            </w:r>
            <w:proofErr w:type="spellEnd"/>
            <w:r w:rsidRPr="009C3AC6">
              <w:rPr>
                <w:sz w:val="19"/>
                <w:szCs w:val="19"/>
                <w:lang w:val="el-GR"/>
              </w:rPr>
              <w:t xml:space="preserve"> τεκμηριωμένη σε παιδιά εκτεθειμένα σε ενδοοικογενειακή βία</w:t>
            </w:r>
          </w:p>
        </w:tc>
        <w:tc>
          <w:tcPr>
            <w:tcW w:w="2268" w:type="dxa"/>
            <w:tcBorders>
              <w:top w:val="single" w:sz="4" w:space="0" w:color="BFBFBF"/>
              <w:left w:val="single" w:sz="4" w:space="0" w:color="BFBFBF"/>
              <w:bottom w:val="single" w:sz="4" w:space="0" w:color="BFBFBF"/>
              <w:right w:val="single" w:sz="4" w:space="0" w:color="BFBFBF"/>
            </w:tcBorders>
          </w:tcPr>
          <w:p w14:paraId="1A5DB008" w14:textId="77777777" w:rsidR="00E77285" w:rsidRPr="009C3AC6" w:rsidRDefault="00E77285" w:rsidP="00CD189F">
            <w:pPr>
              <w:spacing w:after="40" w:line="240" w:lineRule="auto"/>
              <w:jc w:val="left"/>
              <w:rPr>
                <w:lang w:val="el-GR"/>
              </w:rPr>
            </w:pPr>
            <w:r w:rsidRPr="009C3AC6">
              <w:rPr>
                <w:sz w:val="19"/>
                <w:szCs w:val="19"/>
                <w:lang w:val="el-GR"/>
              </w:rPr>
              <w:t xml:space="preserve">Μείωση </w:t>
            </w:r>
            <w:proofErr w:type="spellStart"/>
            <w:r w:rsidRPr="009C3AC6">
              <w:rPr>
                <w:sz w:val="19"/>
                <w:szCs w:val="19"/>
                <w:lang w:val="el-GR"/>
              </w:rPr>
              <w:t>μετατραυματικών</w:t>
            </w:r>
            <w:proofErr w:type="spellEnd"/>
            <w:r w:rsidRPr="009C3AC6">
              <w:rPr>
                <w:sz w:val="19"/>
                <w:szCs w:val="19"/>
                <w:lang w:val="el-GR"/>
              </w:rPr>
              <w:t xml:space="preserve"> συμπτωμάτων και προβλημάτων συμπεριφοράς των παιδιών, βελτίωση εκβάσεων των μητέρων (</w:t>
            </w:r>
            <w:r w:rsidRPr="009C3AC6">
              <w:rPr>
                <w:sz w:val="19"/>
                <w:szCs w:val="19"/>
              </w:rPr>
              <w:t>Lieberman</w:t>
            </w:r>
            <w:r w:rsidRPr="009C3AC6">
              <w:rPr>
                <w:sz w:val="19"/>
                <w:szCs w:val="19"/>
                <w:lang w:val="el-GR"/>
              </w:rPr>
              <w:t xml:space="preserve"> </w:t>
            </w:r>
            <w:r w:rsidRPr="009C3AC6">
              <w:rPr>
                <w:sz w:val="19"/>
                <w:szCs w:val="19"/>
              </w:rPr>
              <w:t>et</w:t>
            </w:r>
            <w:r w:rsidRPr="009C3AC6">
              <w:rPr>
                <w:sz w:val="19"/>
                <w:szCs w:val="19"/>
                <w:lang w:val="el-GR"/>
              </w:rPr>
              <w:t xml:space="preserve"> </w:t>
            </w:r>
            <w:r w:rsidRPr="009C3AC6">
              <w:rPr>
                <w:sz w:val="19"/>
                <w:szCs w:val="19"/>
              </w:rPr>
              <w:t>al</w:t>
            </w:r>
            <w:r w:rsidRPr="009C3AC6">
              <w:rPr>
                <w:sz w:val="19"/>
                <w:szCs w:val="19"/>
                <w:lang w:val="el-GR"/>
              </w:rPr>
              <w:t>., 2015)</w:t>
            </w:r>
          </w:p>
        </w:tc>
      </w:tr>
      <w:tr w:rsidR="00E77285" w:rsidRPr="00D84B1E" w14:paraId="4CA0B390" w14:textId="77777777" w:rsidTr="00CD189F">
        <w:trPr>
          <w:jc w:val="center"/>
        </w:trPr>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30D07C7C" w14:textId="77777777" w:rsidR="00E77285" w:rsidRPr="00E77285" w:rsidRDefault="00E77285" w:rsidP="00CD189F">
            <w:pPr>
              <w:spacing w:after="40" w:line="240" w:lineRule="auto"/>
              <w:jc w:val="left"/>
              <w:rPr>
                <w:lang w:val="el-GR"/>
              </w:rPr>
            </w:pPr>
            <w:r w:rsidRPr="00E77285">
              <w:rPr>
                <w:sz w:val="19"/>
                <w:szCs w:val="19"/>
                <w:lang w:val="el-GR"/>
              </w:rPr>
              <w:t>Θεραπεία Αλληλεπίδρασης Γονέα–Παιδιού (</w:t>
            </w:r>
            <w:r w:rsidRPr="00E77285">
              <w:rPr>
                <w:sz w:val="19"/>
                <w:szCs w:val="19"/>
              </w:rPr>
              <w:t>PCIT</w:t>
            </w:r>
            <w:r w:rsidRPr="00E77285">
              <w:rPr>
                <w:sz w:val="19"/>
                <w:szCs w:val="19"/>
                <w:lang w:val="el-GR"/>
              </w:rPr>
              <w:t>)</w:t>
            </w:r>
          </w:p>
        </w:tc>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49447E68" w14:textId="77777777" w:rsidR="00E77285" w:rsidRPr="009C3AC6" w:rsidRDefault="00E77285" w:rsidP="00CD189F">
            <w:pPr>
              <w:spacing w:after="40" w:line="240" w:lineRule="auto"/>
              <w:jc w:val="left"/>
              <w:rPr>
                <w:lang w:val="el-GR"/>
              </w:rPr>
            </w:pPr>
            <w:r w:rsidRPr="00E77285">
              <w:rPr>
                <w:sz w:val="19"/>
                <w:szCs w:val="19"/>
                <w:lang w:val="el-GR"/>
              </w:rPr>
              <w:t xml:space="preserve">Παιδιά 2–7 ετών με προβλήματα συμπεριφοράς ή κίνδυνο σκληρής </w:t>
            </w:r>
            <w:proofErr w:type="spellStart"/>
            <w:r w:rsidRPr="00E77285">
              <w:rPr>
                <w:sz w:val="19"/>
                <w:szCs w:val="19"/>
                <w:lang w:val="el-GR"/>
              </w:rPr>
              <w:t>γονεϊκότητας</w:t>
            </w:r>
            <w:proofErr w:type="spellEnd"/>
          </w:p>
        </w:tc>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63B2420E" w14:textId="42233DB6" w:rsidR="00E77285" w:rsidRPr="00E77285" w:rsidRDefault="00E77285" w:rsidP="00E77285">
            <w:pPr>
              <w:spacing w:after="40" w:line="240" w:lineRule="auto"/>
              <w:jc w:val="left"/>
              <w:rPr>
                <w:lang w:val="el-GR"/>
              </w:rPr>
            </w:pPr>
            <w:r w:rsidRPr="009C3AC6">
              <w:rPr>
                <w:sz w:val="19"/>
                <w:szCs w:val="19"/>
                <w:lang w:val="el-GR"/>
              </w:rPr>
              <w:t>Άμεση καθοδήγηση των γονέων</w:t>
            </w:r>
            <w:r w:rsidRPr="00E77285">
              <w:rPr>
                <w:sz w:val="19"/>
                <w:szCs w:val="19"/>
                <w:lang w:val="el-GR"/>
              </w:rPr>
              <w:t xml:space="preserve"> κατά την αλληλεπίδραση με το παιδί</w:t>
            </w:r>
          </w:p>
        </w:tc>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489D10F7" w14:textId="77777777" w:rsidR="00E77285" w:rsidRPr="009C3AC6" w:rsidRDefault="00E77285" w:rsidP="00CD189F">
            <w:pPr>
              <w:spacing w:after="40" w:line="240" w:lineRule="auto"/>
              <w:jc w:val="left"/>
              <w:rPr>
                <w:lang w:val="el-GR"/>
              </w:rPr>
            </w:pPr>
            <w:r w:rsidRPr="009C3AC6">
              <w:rPr>
                <w:sz w:val="19"/>
                <w:szCs w:val="19"/>
                <w:lang w:val="el-GR"/>
              </w:rPr>
              <w:t>Μείωση γονεϊκού στρες και αρνητικών πρακτικών (</w:t>
            </w:r>
            <w:r w:rsidRPr="009C3AC6">
              <w:rPr>
                <w:sz w:val="19"/>
                <w:szCs w:val="19"/>
              </w:rPr>
              <w:t>Warren</w:t>
            </w:r>
            <w:r w:rsidRPr="009C3AC6">
              <w:rPr>
                <w:sz w:val="19"/>
                <w:szCs w:val="19"/>
                <w:lang w:val="el-GR"/>
              </w:rPr>
              <w:t xml:space="preserve"> </w:t>
            </w:r>
            <w:r w:rsidRPr="009C3AC6">
              <w:rPr>
                <w:sz w:val="19"/>
                <w:szCs w:val="19"/>
              </w:rPr>
              <w:t>et</w:t>
            </w:r>
            <w:r w:rsidRPr="009C3AC6">
              <w:rPr>
                <w:sz w:val="19"/>
                <w:szCs w:val="19"/>
                <w:lang w:val="el-GR"/>
              </w:rPr>
              <w:t xml:space="preserve"> </w:t>
            </w:r>
            <w:r w:rsidRPr="009C3AC6">
              <w:rPr>
                <w:sz w:val="19"/>
                <w:szCs w:val="19"/>
              </w:rPr>
              <w:t>al</w:t>
            </w:r>
            <w:r w:rsidRPr="009C3AC6">
              <w:rPr>
                <w:sz w:val="19"/>
                <w:szCs w:val="19"/>
                <w:lang w:val="el-GR"/>
              </w:rPr>
              <w:t>., 2022)·λιγότερα νέα περιστατικά σωματικής κακοποίησης (</w:t>
            </w:r>
            <w:r w:rsidRPr="009C3AC6">
              <w:rPr>
                <w:sz w:val="19"/>
                <w:szCs w:val="19"/>
              </w:rPr>
              <w:t>Kennedy</w:t>
            </w:r>
            <w:r w:rsidRPr="009C3AC6">
              <w:rPr>
                <w:sz w:val="19"/>
                <w:szCs w:val="19"/>
                <w:lang w:val="el-GR"/>
              </w:rPr>
              <w:t xml:space="preserve"> </w:t>
            </w:r>
            <w:r w:rsidRPr="009C3AC6">
              <w:rPr>
                <w:sz w:val="19"/>
                <w:szCs w:val="19"/>
              </w:rPr>
              <w:t>et</w:t>
            </w:r>
            <w:r w:rsidRPr="009C3AC6">
              <w:rPr>
                <w:sz w:val="19"/>
                <w:szCs w:val="19"/>
                <w:lang w:val="el-GR"/>
              </w:rPr>
              <w:t xml:space="preserve"> </w:t>
            </w:r>
            <w:r w:rsidRPr="009C3AC6">
              <w:rPr>
                <w:sz w:val="19"/>
                <w:szCs w:val="19"/>
              </w:rPr>
              <w:t>al</w:t>
            </w:r>
            <w:r w:rsidRPr="009C3AC6">
              <w:rPr>
                <w:sz w:val="19"/>
                <w:szCs w:val="19"/>
                <w:lang w:val="el-GR"/>
              </w:rPr>
              <w:t>., 2016)</w:t>
            </w:r>
          </w:p>
        </w:tc>
      </w:tr>
      <w:tr w:rsidR="00E77285" w:rsidRPr="00D84B1E" w14:paraId="78C4C5AE" w14:textId="77777777" w:rsidTr="00CD189F">
        <w:trPr>
          <w:jc w:val="center"/>
        </w:trPr>
        <w:tc>
          <w:tcPr>
            <w:tcW w:w="2268" w:type="dxa"/>
            <w:tcBorders>
              <w:top w:val="single" w:sz="4" w:space="0" w:color="BFBFBF"/>
              <w:left w:val="single" w:sz="4" w:space="0" w:color="BFBFBF"/>
              <w:bottom w:val="single" w:sz="4" w:space="0" w:color="BFBFBF"/>
              <w:right w:val="single" w:sz="4" w:space="0" w:color="BFBFBF"/>
            </w:tcBorders>
          </w:tcPr>
          <w:p w14:paraId="4C15815D" w14:textId="77777777" w:rsidR="00E77285" w:rsidRPr="00E77285" w:rsidRDefault="00E77285" w:rsidP="00CD189F">
            <w:pPr>
              <w:spacing w:after="40" w:line="240" w:lineRule="auto"/>
              <w:jc w:val="left"/>
            </w:pPr>
            <w:proofErr w:type="spellStart"/>
            <w:r w:rsidRPr="00E77285">
              <w:rPr>
                <w:sz w:val="19"/>
                <w:szCs w:val="19"/>
              </w:rPr>
              <w:t>Περιγεννητικά</w:t>
            </w:r>
            <w:proofErr w:type="spellEnd"/>
            <w:r w:rsidRPr="00E77285">
              <w:rPr>
                <w:sz w:val="19"/>
                <w:szCs w:val="19"/>
              </w:rPr>
              <w:t xml:space="preserve"> π</w:t>
            </w:r>
            <w:proofErr w:type="spellStart"/>
            <w:r w:rsidRPr="00E77285">
              <w:rPr>
                <w:sz w:val="19"/>
                <w:szCs w:val="19"/>
              </w:rPr>
              <w:t>ρογράμμ</w:t>
            </w:r>
            <w:proofErr w:type="spellEnd"/>
            <w:r w:rsidRPr="00E77285">
              <w:rPr>
                <w:sz w:val="19"/>
                <w:szCs w:val="19"/>
              </w:rPr>
              <w:t>ατα (Mom Power, Child FIRST, Minding the Baby, Perinatal CPP, Survivor Moms' Companion)</w:t>
            </w:r>
          </w:p>
        </w:tc>
        <w:tc>
          <w:tcPr>
            <w:tcW w:w="2268" w:type="dxa"/>
            <w:tcBorders>
              <w:top w:val="single" w:sz="4" w:space="0" w:color="BFBFBF"/>
              <w:left w:val="single" w:sz="4" w:space="0" w:color="BFBFBF"/>
              <w:bottom w:val="single" w:sz="4" w:space="0" w:color="BFBFBF"/>
              <w:right w:val="single" w:sz="4" w:space="0" w:color="BFBFBF"/>
            </w:tcBorders>
          </w:tcPr>
          <w:p w14:paraId="7010B5C2" w14:textId="77777777" w:rsidR="00E77285" w:rsidRPr="009C3AC6" w:rsidRDefault="00E77285" w:rsidP="00CD189F">
            <w:pPr>
              <w:spacing w:after="40" w:line="240" w:lineRule="auto"/>
              <w:jc w:val="left"/>
              <w:rPr>
                <w:lang w:val="el-GR"/>
              </w:rPr>
            </w:pPr>
            <w:proofErr w:type="spellStart"/>
            <w:r w:rsidRPr="00E77285">
              <w:rPr>
                <w:sz w:val="19"/>
                <w:szCs w:val="19"/>
                <w:lang w:val="el-GR"/>
              </w:rPr>
              <w:t>Έγκυες</w:t>
            </w:r>
            <w:proofErr w:type="spellEnd"/>
            <w:r w:rsidRPr="00E77285">
              <w:rPr>
                <w:sz w:val="19"/>
                <w:szCs w:val="19"/>
                <w:lang w:val="el-GR"/>
              </w:rPr>
              <w:t xml:space="preserve"> και μητέρες βρεφών με ιστορικό βίας ή παιδικού τραύματος</w:t>
            </w:r>
          </w:p>
        </w:tc>
        <w:tc>
          <w:tcPr>
            <w:tcW w:w="2268" w:type="dxa"/>
            <w:tcBorders>
              <w:top w:val="single" w:sz="4" w:space="0" w:color="BFBFBF"/>
              <w:left w:val="single" w:sz="4" w:space="0" w:color="BFBFBF"/>
              <w:bottom w:val="single" w:sz="4" w:space="0" w:color="BFBFBF"/>
              <w:right w:val="single" w:sz="4" w:space="0" w:color="BFBFBF"/>
            </w:tcBorders>
          </w:tcPr>
          <w:p w14:paraId="4C19BFAC" w14:textId="77777777" w:rsidR="00E77285" w:rsidRPr="009C3AC6" w:rsidRDefault="00E77285" w:rsidP="00CD189F">
            <w:pPr>
              <w:spacing w:after="40" w:line="240" w:lineRule="auto"/>
              <w:jc w:val="left"/>
              <w:rPr>
                <w:lang w:val="el-GR"/>
              </w:rPr>
            </w:pPr>
            <w:r w:rsidRPr="009C3AC6">
              <w:rPr>
                <w:sz w:val="19"/>
                <w:szCs w:val="19"/>
                <w:lang w:val="el-GR"/>
              </w:rPr>
              <w:t xml:space="preserve">Συνδυασμός </w:t>
            </w:r>
            <w:proofErr w:type="spellStart"/>
            <w:r w:rsidRPr="009C3AC6">
              <w:rPr>
                <w:sz w:val="19"/>
                <w:szCs w:val="19"/>
                <w:lang w:val="el-GR"/>
              </w:rPr>
              <w:t>αυτοφροντίδας</w:t>
            </w:r>
            <w:proofErr w:type="spellEnd"/>
            <w:r w:rsidRPr="009C3AC6">
              <w:rPr>
                <w:sz w:val="19"/>
                <w:szCs w:val="19"/>
                <w:lang w:val="el-GR"/>
              </w:rPr>
              <w:t xml:space="preserve">, διαχείρισης τραυματικής δυσφορίας, κατ' </w:t>
            </w:r>
            <w:proofErr w:type="spellStart"/>
            <w:r w:rsidRPr="009C3AC6">
              <w:rPr>
                <w:sz w:val="19"/>
                <w:szCs w:val="19"/>
                <w:lang w:val="el-GR"/>
              </w:rPr>
              <w:t>οίκον</w:t>
            </w:r>
            <w:proofErr w:type="spellEnd"/>
            <w:r w:rsidRPr="009C3AC6">
              <w:rPr>
                <w:sz w:val="19"/>
                <w:szCs w:val="19"/>
                <w:lang w:val="el-GR"/>
              </w:rPr>
              <w:t xml:space="preserve"> επισκέψεων και υποστήριξης της σχέσης μητέρας–βρέφους</w:t>
            </w:r>
          </w:p>
        </w:tc>
        <w:tc>
          <w:tcPr>
            <w:tcW w:w="2268" w:type="dxa"/>
            <w:tcBorders>
              <w:top w:val="single" w:sz="4" w:space="0" w:color="BFBFBF"/>
              <w:left w:val="single" w:sz="4" w:space="0" w:color="BFBFBF"/>
              <w:bottom w:val="single" w:sz="4" w:space="0" w:color="BFBFBF"/>
              <w:right w:val="single" w:sz="4" w:space="0" w:color="BFBFBF"/>
            </w:tcBorders>
          </w:tcPr>
          <w:p w14:paraId="12DB0E6A" w14:textId="77777777" w:rsidR="00E77285" w:rsidRPr="009C3AC6" w:rsidRDefault="00E77285" w:rsidP="00CD189F">
            <w:pPr>
              <w:spacing w:after="40" w:line="240" w:lineRule="auto"/>
              <w:jc w:val="left"/>
              <w:rPr>
                <w:lang w:val="el-GR"/>
              </w:rPr>
            </w:pPr>
            <w:r w:rsidRPr="009C3AC6">
              <w:rPr>
                <w:sz w:val="19"/>
                <w:szCs w:val="19"/>
                <w:lang w:val="el-GR"/>
              </w:rPr>
              <w:t xml:space="preserve">Αύξηση ασφαλούς προσκόλλησης, μείωση κατάθλιψης και </w:t>
            </w:r>
            <w:proofErr w:type="spellStart"/>
            <w:r w:rsidRPr="009C3AC6">
              <w:rPr>
                <w:sz w:val="19"/>
                <w:szCs w:val="19"/>
                <w:lang w:val="el-GR"/>
              </w:rPr>
              <w:t>μετατραυματικών</w:t>
            </w:r>
            <w:proofErr w:type="spellEnd"/>
            <w:r w:rsidRPr="009C3AC6">
              <w:rPr>
                <w:sz w:val="19"/>
                <w:szCs w:val="19"/>
                <w:lang w:val="el-GR"/>
              </w:rPr>
              <w:t xml:space="preserve"> συμπτωμάτων της </w:t>
            </w:r>
            <w:proofErr w:type="spellStart"/>
            <w:r w:rsidRPr="009C3AC6">
              <w:rPr>
                <w:sz w:val="19"/>
                <w:szCs w:val="19"/>
                <w:lang w:val="el-GR"/>
              </w:rPr>
              <w:t>μητέρας·ο</w:t>
            </w:r>
            <w:proofErr w:type="spellEnd"/>
            <w:r w:rsidRPr="009C3AC6">
              <w:rPr>
                <w:sz w:val="19"/>
                <w:szCs w:val="19"/>
                <w:lang w:val="el-GR"/>
              </w:rPr>
              <w:t xml:space="preserve"> καθολικός έλεγχος χωρίς διαθέσιμη παρέμβαση δεν αρκεί (</w:t>
            </w:r>
            <w:r w:rsidRPr="009C3AC6">
              <w:rPr>
                <w:sz w:val="19"/>
                <w:szCs w:val="19"/>
              </w:rPr>
              <w:t>Mercier</w:t>
            </w:r>
            <w:r w:rsidRPr="009C3AC6">
              <w:rPr>
                <w:sz w:val="19"/>
                <w:szCs w:val="19"/>
                <w:lang w:val="el-GR"/>
              </w:rPr>
              <w:t xml:space="preserve"> </w:t>
            </w:r>
            <w:r w:rsidRPr="009C3AC6">
              <w:rPr>
                <w:sz w:val="19"/>
                <w:szCs w:val="19"/>
              </w:rPr>
              <w:t>et</w:t>
            </w:r>
            <w:r w:rsidRPr="009C3AC6">
              <w:rPr>
                <w:sz w:val="19"/>
                <w:szCs w:val="19"/>
                <w:lang w:val="el-GR"/>
              </w:rPr>
              <w:t xml:space="preserve"> </w:t>
            </w:r>
            <w:r w:rsidRPr="009C3AC6">
              <w:rPr>
                <w:sz w:val="19"/>
                <w:szCs w:val="19"/>
              </w:rPr>
              <w:t>al</w:t>
            </w:r>
            <w:r w:rsidRPr="009C3AC6">
              <w:rPr>
                <w:sz w:val="19"/>
                <w:szCs w:val="19"/>
                <w:lang w:val="el-GR"/>
              </w:rPr>
              <w:t>., 2024)</w:t>
            </w:r>
          </w:p>
        </w:tc>
      </w:tr>
      <w:tr w:rsidR="00E77285" w:rsidRPr="00D84B1E" w14:paraId="7F543269" w14:textId="77777777" w:rsidTr="00CD189F">
        <w:trPr>
          <w:jc w:val="center"/>
        </w:trPr>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2FE0A7DC" w14:textId="77777777" w:rsidR="00E77285" w:rsidRPr="00E77285" w:rsidRDefault="00E77285" w:rsidP="00CD189F">
            <w:pPr>
              <w:spacing w:after="40" w:line="240" w:lineRule="auto"/>
              <w:jc w:val="left"/>
            </w:pPr>
            <w:proofErr w:type="spellStart"/>
            <w:r w:rsidRPr="00E77285">
              <w:rPr>
                <w:sz w:val="19"/>
                <w:szCs w:val="19"/>
              </w:rPr>
              <w:t>Θετική</w:t>
            </w:r>
            <w:proofErr w:type="spellEnd"/>
            <w:r w:rsidRPr="00E77285">
              <w:rPr>
                <w:sz w:val="19"/>
                <w:szCs w:val="19"/>
              </w:rPr>
              <w:t xml:space="preserve"> </w:t>
            </w:r>
            <w:proofErr w:type="spellStart"/>
            <w:r w:rsidRPr="00E77285">
              <w:rPr>
                <w:sz w:val="19"/>
                <w:szCs w:val="19"/>
              </w:rPr>
              <w:t>γονεϊκότητ</w:t>
            </w:r>
            <w:proofErr w:type="spellEnd"/>
            <w:r w:rsidRPr="00E77285">
              <w:rPr>
                <w:sz w:val="19"/>
                <w:szCs w:val="19"/>
              </w:rPr>
              <w:t>α (π.χ. ACT Raising Safe Kids)</w:t>
            </w:r>
          </w:p>
        </w:tc>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5894824E" w14:textId="77777777" w:rsidR="00E77285" w:rsidRPr="00E77285" w:rsidRDefault="00E77285" w:rsidP="00CD189F">
            <w:pPr>
              <w:spacing w:after="40" w:line="240" w:lineRule="auto"/>
              <w:jc w:val="left"/>
            </w:pPr>
            <w:proofErr w:type="spellStart"/>
            <w:r w:rsidRPr="00E77285">
              <w:rPr>
                <w:sz w:val="19"/>
                <w:szCs w:val="19"/>
              </w:rPr>
              <w:t>Γονείς</w:t>
            </w:r>
            <w:proofErr w:type="spellEnd"/>
            <w:r w:rsidRPr="00E77285">
              <w:rPr>
                <w:sz w:val="19"/>
                <w:szCs w:val="19"/>
              </w:rPr>
              <w:t xml:space="preserve"> πα</w:t>
            </w:r>
            <w:proofErr w:type="spellStart"/>
            <w:r w:rsidRPr="00E77285">
              <w:rPr>
                <w:sz w:val="19"/>
                <w:szCs w:val="19"/>
              </w:rPr>
              <w:t>ιδιών</w:t>
            </w:r>
            <w:proofErr w:type="spellEnd"/>
            <w:r w:rsidRPr="00E77285">
              <w:rPr>
                <w:sz w:val="19"/>
                <w:szCs w:val="19"/>
              </w:rPr>
              <w:t xml:space="preserve"> 0–17 </w:t>
            </w:r>
            <w:proofErr w:type="spellStart"/>
            <w:r w:rsidRPr="00E77285">
              <w:rPr>
                <w:sz w:val="19"/>
                <w:szCs w:val="19"/>
              </w:rPr>
              <w:t>ετών</w:t>
            </w:r>
            <w:proofErr w:type="spellEnd"/>
          </w:p>
        </w:tc>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5457CCF1" w14:textId="77777777" w:rsidR="00E77285" w:rsidRPr="009C3AC6" w:rsidRDefault="00E77285" w:rsidP="00CD189F">
            <w:pPr>
              <w:spacing w:after="40" w:line="240" w:lineRule="auto"/>
              <w:jc w:val="left"/>
              <w:rPr>
                <w:lang w:val="el-GR"/>
              </w:rPr>
            </w:pPr>
            <w:proofErr w:type="spellStart"/>
            <w:r w:rsidRPr="009C3AC6">
              <w:rPr>
                <w:sz w:val="19"/>
                <w:szCs w:val="19"/>
                <w:lang w:val="el-GR"/>
              </w:rPr>
              <w:t>Ψυχοεκπαίδευση</w:t>
            </w:r>
            <w:proofErr w:type="spellEnd"/>
            <w:r w:rsidRPr="009C3AC6">
              <w:rPr>
                <w:sz w:val="19"/>
                <w:szCs w:val="19"/>
                <w:lang w:val="el-GR"/>
              </w:rPr>
              <w:t>, μη βίαιη οριοθέτηση, διαχείριση θυμού και στρες, θετική επικοινωνία</w:t>
            </w:r>
          </w:p>
        </w:tc>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475E14E3" w14:textId="77777777" w:rsidR="00E77285" w:rsidRPr="009C3AC6" w:rsidRDefault="00E77285" w:rsidP="00CD189F">
            <w:pPr>
              <w:spacing w:after="40" w:line="240" w:lineRule="auto"/>
              <w:jc w:val="left"/>
              <w:rPr>
                <w:lang w:val="el-GR"/>
              </w:rPr>
            </w:pPr>
            <w:r w:rsidRPr="009C3AC6">
              <w:rPr>
                <w:sz w:val="19"/>
                <w:szCs w:val="19"/>
                <w:lang w:val="el-GR"/>
              </w:rPr>
              <w:t xml:space="preserve">Μείωση εχθρικών και καταναγκαστικών </w:t>
            </w:r>
            <w:proofErr w:type="spellStart"/>
            <w:r w:rsidRPr="009C3AC6">
              <w:rPr>
                <w:sz w:val="19"/>
                <w:szCs w:val="19"/>
                <w:lang w:val="el-GR"/>
              </w:rPr>
              <w:t>πρακτικών·συστήνεται</w:t>
            </w:r>
            <w:proofErr w:type="spellEnd"/>
            <w:r w:rsidRPr="009C3AC6">
              <w:rPr>
                <w:sz w:val="19"/>
                <w:szCs w:val="19"/>
                <w:lang w:val="el-GR"/>
              </w:rPr>
              <w:t xml:space="preserve"> από τον </w:t>
            </w:r>
            <w:r w:rsidRPr="009C3AC6">
              <w:rPr>
                <w:sz w:val="19"/>
                <w:szCs w:val="19"/>
              </w:rPr>
              <w:t>WHO</w:t>
            </w:r>
            <w:r w:rsidRPr="009C3AC6">
              <w:rPr>
                <w:sz w:val="19"/>
                <w:szCs w:val="19"/>
                <w:lang w:val="el-GR"/>
              </w:rPr>
              <w:t xml:space="preserve"> (2023)·δεν πρέπει να εφαρμόζεται αποκομμένα από το πλαίσιο της βίας ώστε να μην ενοχοποιείται η μητέρα</w:t>
            </w:r>
          </w:p>
        </w:tc>
      </w:tr>
      <w:tr w:rsidR="00E77285" w:rsidRPr="00D84B1E" w14:paraId="77A3804D" w14:textId="77777777" w:rsidTr="00CD189F">
        <w:trPr>
          <w:jc w:val="center"/>
        </w:trPr>
        <w:tc>
          <w:tcPr>
            <w:tcW w:w="2268" w:type="dxa"/>
            <w:tcBorders>
              <w:top w:val="single" w:sz="4" w:space="0" w:color="BFBFBF"/>
              <w:left w:val="single" w:sz="4" w:space="0" w:color="BFBFBF"/>
              <w:bottom w:val="single" w:sz="4" w:space="0" w:color="BFBFBF"/>
              <w:right w:val="single" w:sz="4" w:space="0" w:color="BFBFBF"/>
            </w:tcBorders>
          </w:tcPr>
          <w:p w14:paraId="5C1EE034" w14:textId="77777777" w:rsidR="00E77285" w:rsidRPr="00E77285" w:rsidRDefault="00E77285" w:rsidP="00CD189F">
            <w:pPr>
              <w:spacing w:after="40" w:line="240" w:lineRule="auto"/>
              <w:jc w:val="left"/>
              <w:rPr>
                <w:lang w:val="el-GR"/>
              </w:rPr>
            </w:pPr>
            <w:r w:rsidRPr="00E77285">
              <w:rPr>
                <w:sz w:val="19"/>
                <w:szCs w:val="19"/>
                <w:lang w:val="el-GR"/>
              </w:rPr>
              <w:lastRenderedPageBreak/>
              <w:t>Άμεση θεραπεία παιδιών (θεραπεία μέσω παιχνιδιού, εστιασμένη στο τραύμα ΓΣΘ)</w:t>
            </w:r>
          </w:p>
        </w:tc>
        <w:tc>
          <w:tcPr>
            <w:tcW w:w="2268" w:type="dxa"/>
            <w:tcBorders>
              <w:top w:val="single" w:sz="4" w:space="0" w:color="BFBFBF"/>
              <w:left w:val="single" w:sz="4" w:space="0" w:color="BFBFBF"/>
              <w:bottom w:val="single" w:sz="4" w:space="0" w:color="BFBFBF"/>
              <w:right w:val="single" w:sz="4" w:space="0" w:color="BFBFBF"/>
            </w:tcBorders>
          </w:tcPr>
          <w:p w14:paraId="278C00AF" w14:textId="77777777" w:rsidR="00E77285" w:rsidRPr="009C3AC6" w:rsidRDefault="00E77285" w:rsidP="00CD189F">
            <w:pPr>
              <w:spacing w:after="40" w:line="240" w:lineRule="auto"/>
              <w:jc w:val="left"/>
              <w:rPr>
                <w:lang w:val="el-GR"/>
              </w:rPr>
            </w:pPr>
            <w:r w:rsidRPr="00E77285">
              <w:rPr>
                <w:sz w:val="19"/>
                <w:szCs w:val="19"/>
                <w:lang w:val="el-GR"/>
              </w:rPr>
              <w:t>Παιδιά και έφηβοι/ες με δικά τους τραυματικά συμπτώματα</w:t>
            </w:r>
          </w:p>
        </w:tc>
        <w:tc>
          <w:tcPr>
            <w:tcW w:w="2268" w:type="dxa"/>
            <w:tcBorders>
              <w:top w:val="single" w:sz="4" w:space="0" w:color="BFBFBF"/>
              <w:left w:val="single" w:sz="4" w:space="0" w:color="BFBFBF"/>
              <w:bottom w:val="single" w:sz="4" w:space="0" w:color="BFBFBF"/>
              <w:right w:val="single" w:sz="4" w:space="0" w:color="BFBFBF"/>
            </w:tcBorders>
          </w:tcPr>
          <w:p w14:paraId="41031297" w14:textId="77777777" w:rsidR="00E77285" w:rsidRPr="009C3AC6" w:rsidRDefault="00E77285" w:rsidP="00CD189F">
            <w:pPr>
              <w:spacing w:after="40" w:line="240" w:lineRule="auto"/>
              <w:jc w:val="left"/>
              <w:rPr>
                <w:lang w:val="el-GR"/>
              </w:rPr>
            </w:pPr>
            <w:r w:rsidRPr="009C3AC6">
              <w:rPr>
                <w:sz w:val="19"/>
                <w:szCs w:val="19"/>
                <w:lang w:val="el-GR"/>
              </w:rPr>
              <w:t>Επεξεργασία της εμπειρίας, συναισθηματική ρύθμιση, ορθή απόδοση της ευθύνης στον ενήλικο</w:t>
            </w:r>
          </w:p>
        </w:tc>
        <w:tc>
          <w:tcPr>
            <w:tcW w:w="2268" w:type="dxa"/>
            <w:tcBorders>
              <w:top w:val="single" w:sz="4" w:space="0" w:color="BFBFBF"/>
              <w:left w:val="single" w:sz="4" w:space="0" w:color="BFBFBF"/>
              <w:bottom w:val="single" w:sz="4" w:space="0" w:color="BFBFBF"/>
              <w:right w:val="single" w:sz="4" w:space="0" w:color="BFBFBF"/>
            </w:tcBorders>
          </w:tcPr>
          <w:p w14:paraId="2DECFC9B" w14:textId="77777777" w:rsidR="00E77285" w:rsidRPr="009C3AC6" w:rsidRDefault="00E77285" w:rsidP="00CD189F">
            <w:pPr>
              <w:spacing w:after="40" w:line="240" w:lineRule="auto"/>
              <w:jc w:val="left"/>
              <w:rPr>
                <w:lang w:val="el-GR"/>
              </w:rPr>
            </w:pPr>
            <w:r w:rsidRPr="009C3AC6">
              <w:rPr>
                <w:sz w:val="19"/>
                <w:szCs w:val="19"/>
                <w:lang w:val="el-GR"/>
              </w:rPr>
              <w:t>Βελτίωση άγχους και συμπτωμάτων ΔΜΤΣ σε παιδιά 7–14 ετών (</w:t>
            </w:r>
            <w:r w:rsidRPr="009C3AC6">
              <w:rPr>
                <w:sz w:val="19"/>
                <w:szCs w:val="19"/>
              </w:rPr>
              <w:t>Howarth</w:t>
            </w:r>
            <w:r w:rsidRPr="009C3AC6">
              <w:rPr>
                <w:sz w:val="19"/>
                <w:szCs w:val="19"/>
                <w:lang w:val="el-GR"/>
              </w:rPr>
              <w:t xml:space="preserve"> </w:t>
            </w:r>
            <w:r w:rsidRPr="009C3AC6">
              <w:rPr>
                <w:sz w:val="19"/>
                <w:szCs w:val="19"/>
              </w:rPr>
              <w:t>et</w:t>
            </w:r>
            <w:r w:rsidRPr="009C3AC6">
              <w:rPr>
                <w:sz w:val="19"/>
                <w:szCs w:val="19"/>
                <w:lang w:val="el-GR"/>
              </w:rPr>
              <w:t xml:space="preserve"> </w:t>
            </w:r>
            <w:r w:rsidRPr="009C3AC6">
              <w:rPr>
                <w:sz w:val="19"/>
                <w:szCs w:val="19"/>
              </w:rPr>
              <w:t>al</w:t>
            </w:r>
            <w:r w:rsidRPr="009C3AC6">
              <w:rPr>
                <w:sz w:val="19"/>
                <w:szCs w:val="19"/>
                <w:lang w:val="el-GR"/>
              </w:rPr>
              <w:t>., 2016)</w:t>
            </w:r>
          </w:p>
        </w:tc>
      </w:tr>
      <w:tr w:rsidR="00E77285" w:rsidRPr="00D84B1E" w14:paraId="1ACE5D27" w14:textId="77777777" w:rsidTr="00CD189F">
        <w:trPr>
          <w:jc w:val="center"/>
        </w:trPr>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567DFA70" w14:textId="77777777" w:rsidR="00E77285" w:rsidRPr="00E77285" w:rsidRDefault="00E77285" w:rsidP="00CD189F">
            <w:pPr>
              <w:spacing w:after="40" w:line="240" w:lineRule="auto"/>
              <w:jc w:val="left"/>
            </w:pPr>
            <w:proofErr w:type="spellStart"/>
            <w:r w:rsidRPr="00E77285">
              <w:rPr>
                <w:sz w:val="19"/>
                <w:szCs w:val="19"/>
              </w:rPr>
              <w:t>Προγράμμ</w:t>
            </w:r>
            <w:proofErr w:type="spellEnd"/>
            <w:r w:rsidRPr="00E77285">
              <w:rPr>
                <w:sz w:val="19"/>
                <w:szCs w:val="19"/>
              </w:rPr>
              <w:t xml:space="preserve">ατα </w:t>
            </w:r>
            <w:proofErr w:type="spellStart"/>
            <w:r w:rsidRPr="00E77285">
              <w:rPr>
                <w:sz w:val="19"/>
                <w:szCs w:val="19"/>
              </w:rPr>
              <w:t>γι</w:t>
            </w:r>
            <w:proofErr w:type="spellEnd"/>
            <w:r w:rsidRPr="00E77285">
              <w:rPr>
                <w:sz w:val="19"/>
                <w:szCs w:val="19"/>
              </w:rPr>
              <w:t xml:space="preserve">α </w:t>
            </w:r>
            <w:proofErr w:type="spellStart"/>
            <w:r w:rsidRPr="00E77285">
              <w:rPr>
                <w:sz w:val="19"/>
                <w:szCs w:val="19"/>
              </w:rPr>
              <w:t>δράστες</w:t>
            </w:r>
            <w:proofErr w:type="spellEnd"/>
            <w:r w:rsidRPr="00E77285">
              <w:rPr>
                <w:sz w:val="19"/>
                <w:szCs w:val="19"/>
              </w:rPr>
              <w:t xml:space="preserve"> (Caring Dads, Fathers for Change, π</w:t>
            </w:r>
            <w:proofErr w:type="spellStart"/>
            <w:r w:rsidRPr="00E77285">
              <w:rPr>
                <w:sz w:val="19"/>
                <w:szCs w:val="19"/>
              </w:rPr>
              <w:t>ρότυ</w:t>
            </w:r>
            <w:proofErr w:type="spellEnd"/>
            <w:r w:rsidRPr="00E77285">
              <w:rPr>
                <w:sz w:val="19"/>
                <w:szCs w:val="19"/>
              </w:rPr>
              <w:t>πα WWP EN, Project Mirabal, ENGAGE)</w:t>
            </w:r>
          </w:p>
        </w:tc>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39FD8D41" w14:textId="77777777" w:rsidR="00E77285" w:rsidRPr="009C3AC6" w:rsidRDefault="00E77285" w:rsidP="00CD189F">
            <w:pPr>
              <w:spacing w:after="40" w:line="240" w:lineRule="auto"/>
              <w:jc w:val="left"/>
              <w:rPr>
                <w:lang w:val="el-GR"/>
              </w:rPr>
            </w:pPr>
            <w:r w:rsidRPr="009C3AC6">
              <w:rPr>
                <w:sz w:val="19"/>
                <w:szCs w:val="19"/>
                <w:lang w:val="el-GR"/>
              </w:rPr>
              <w:t>Άνδρες που ασκούν βία, με έμφαση και στη γονεϊκή τους διάσταση</w:t>
            </w:r>
          </w:p>
        </w:tc>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4F20C609" w14:textId="77777777" w:rsidR="00E77285" w:rsidRPr="009C3AC6" w:rsidRDefault="00E77285" w:rsidP="00CD189F">
            <w:pPr>
              <w:spacing w:after="40" w:line="240" w:lineRule="auto"/>
              <w:jc w:val="left"/>
              <w:rPr>
                <w:lang w:val="el-GR"/>
              </w:rPr>
            </w:pPr>
            <w:r w:rsidRPr="009C3AC6">
              <w:rPr>
                <w:sz w:val="19"/>
                <w:szCs w:val="19"/>
                <w:lang w:val="el-GR"/>
              </w:rPr>
              <w:t>Ανάληψη ευθύνης, κατανόηση των επιπτώσεων στα παιδιά, αμφισβήτηση έμφυλων πεποιθήσεων, παράλληλη υποστήριξη της επιζώσας</w:t>
            </w:r>
          </w:p>
        </w:tc>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375A35CA" w14:textId="77777777" w:rsidR="00E77285" w:rsidRPr="009C3AC6" w:rsidRDefault="00E77285" w:rsidP="00CD189F">
            <w:pPr>
              <w:spacing w:after="40" w:line="240" w:lineRule="auto"/>
              <w:jc w:val="left"/>
              <w:rPr>
                <w:lang w:val="el-GR"/>
              </w:rPr>
            </w:pPr>
            <w:r w:rsidRPr="009C3AC6">
              <w:rPr>
                <w:sz w:val="19"/>
                <w:szCs w:val="19"/>
                <w:lang w:val="el-GR"/>
              </w:rPr>
              <w:t>Βελτιώσεις σε στάσεις και ορισμένες συμπεριφορές· μικρές επιδράσεις στην υποτροπή (</w:t>
            </w:r>
            <w:r w:rsidRPr="009C3AC6">
              <w:rPr>
                <w:sz w:val="19"/>
                <w:szCs w:val="19"/>
              </w:rPr>
              <w:t>Babcock</w:t>
            </w:r>
            <w:r w:rsidRPr="009C3AC6">
              <w:rPr>
                <w:sz w:val="19"/>
                <w:szCs w:val="19"/>
                <w:lang w:val="el-GR"/>
              </w:rPr>
              <w:t xml:space="preserve"> </w:t>
            </w:r>
            <w:r w:rsidRPr="009C3AC6">
              <w:rPr>
                <w:sz w:val="19"/>
                <w:szCs w:val="19"/>
              </w:rPr>
              <w:t>et</w:t>
            </w:r>
            <w:r w:rsidRPr="009C3AC6">
              <w:rPr>
                <w:sz w:val="19"/>
                <w:szCs w:val="19"/>
                <w:lang w:val="el-GR"/>
              </w:rPr>
              <w:t xml:space="preserve"> </w:t>
            </w:r>
            <w:r w:rsidRPr="009C3AC6">
              <w:rPr>
                <w:sz w:val="19"/>
                <w:szCs w:val="19"/>
              </w:rPr>
              <w:t>al</w:t>
            </w:r>
            <w:r w:rsidRPr="009C3AC6">
              <w:rPr>
                <w:sz w:val="19"/>
                <w:szCs w:val="19"/>
                <w:lang w:val="el-GR"/>
              </w:rPr>
              <w:t>., 2004)·η ολοκλήρωση δεν αποτελεί τεκμήριο ασφάλειας</w:t>
            </w:r>
          </w:p>
        </w:tc>
      </w:tr>
    </w:tbl>
    <w:p w14:paraId="6CDD427F" w14:textId="77777777" w:rsidR="00E77285" w:rsidRPr="00E77285" w:rsidRDefault="00E77285">
      <w:pPr>
        <w:rPr>
          <w:lang w:val="el-GR"/>
        </w:rPr>
      </w:pPr>
    </w:p>
    <w:p w14:paraId="3B98F458" w14:textId="77777777" w:rsidR="000956C9" w:rsidRPr="009C3AC6" w:rsidRDefault="00F56A84">
      <w:pPr>
        <w:rPr>
          <w:lang w:val="el-GR"/>
        </w:rPr>
      </w:pPr>
      <w:r w:rsidRPr="009C3AC6">
        <w:rPr>
          <w:lang w:val="el-GR"/>
        </w:rPr>
        <w:t>Η Ψυχοθεραπεία Γονέα–Παιδιού (</w:t>
      </w:r>
      <w:proofErr w:type="spellStart"/>
      <w:r w:rsidRPr="009C3AC6">
        <w:rPr>
          <w:lang w:val="el-GR"/>
        </w:rPr>
        <w:t>Child</w:t>
      </w:r>
      <w:proofErr w:type="spellEnd"/>
      <w:r w:rsidRPr="009C3AC6">
        <w:rPr>
          <w:lang w:val="el-GR"/>
        </w:rPr>
        <w:t>–</w:t>
      </w:r>
      <w:proofErr w:type="spellStart"/>
      <w:r w:rsidRPr="009C3AC6">
        <w:rPr>
          <w:lang w:val="el-GR"/>
        </w:rPr>
        <w:t>Parent</w:t>
      </w:r>
      <w:proofErr w:type="spellEnd"/>
      <w:r w:rsidRPr="009C3AC6">
        <w:rPr>
          <w:lang w:val="el-GR"/>
        </w:rPr>
        <w:t xml:space="preserve"> </w:t>
      </w:r>
      <w:proofErr w:type="spellStart"/>
      <w:r w:rsidRPr="009C3AC6">
        <w:rPr>
          <w:lang w:val="el-GR"/>
        </w:rPr>
        <w:t>Psychotherapy</w:t>
      </w:r>
      <w:proofErr w:type="spellEnd"/>
      <w:r w:rsidRPr="009C3AC6">
        <w:rPr>
          <w:lang w:val="el-GR"/>
        </w:rPr>
        <w:t xml:space="preserve">, CPP) αποτελεί μία από τις πλέον τεκμηριωμένες </w:t>
      </w:r>
      <w:proofErr w:type="spellStart"/>
      <w:r w:rsidRPr="009C3AC6">
        <w:rPr>
          <w:lang w:val="el-GR"/>
        </w:rPr>
        <w:t>σχεσιοκεντρικές</w:t>
      </w:r>
      <w:proofErr w:type="spellEnd"/>
      <w:r w:rsidRPr="009C3AC6">
        <w:rPr>
          <w:lang w:val="el-GR"/>
        </w:rPr>
        <w:t xml:space="preserve"> παρεμβάσεις για παιδιά έως πέντε ετών που έχουν βιώσει τραυματικές εμπειρίες και για τα πρόσωπα που τα φροντίζουν. Βασίζεται στην παραδοχή ότι η σχέση γονέα–παιδιού αποτελεί βασικό μέσο θεραπευτικής αλλαγής. Για τον λόγο αυτό, δεν επικεντρώνεται αποκλειστικά στη συμπτωματολογία του παιδιού, αλλά στην κοινή τραυματική εμπειρία, στις αναπαραστάσεις που έχουν διαμορφωθεί για τον εαυτό και τους άλλους και στις αλληλεπιδράσεις που εκδηλώνονται στο παρόν. Μέσα από τη θεραπευτική διαδικασία επιδιώκονται η ενίσχυση της ασφάλειας και της σχέσης προσκόλλησης, η βελτίωση της συναισθηματικής ρύθμισης και η δημιουργία ενός ασφαλούς σχεσιακού πλαισίου, μέσα στο οποίο το παιδί μπορεί να επεξεργαστεί την τραυματική εμπειρία. Η αποτελεσματικότητά της έχει τεκμηριωθεί ιδιαίτερα σε παιδιά που έχουν εκτεθεί σε ενδοοικογενειακή βία: η συμμετοχή στην παρέμβαση συνδέθηκε με σημαντική μείωση των συμπτωμάτων τραυματικού στρες και των προβλημάτων συμπεριφοράς των παιδιών, καθώς και με βελτιώσεις σε ορισμένες διαστάσεις της ψυχολογικής κατάστασης των μητέρων (</w:t>
      </w:r>
      <w:proofErr w:type="spellStart"/>
      <w:r w:rsidRPr="009C3AC6">
        <w:rPr>
          <w:lang w:val="el-GR"/>
        </w:rPr>
        <w:t>Lieberman</w:t>
      </w:r>
      <w:proofErr w:type="spellEnd"/>
      <w:r w:rsidRPr="009C3AC6">
        <w:rPr>
          <w:lang w:val="el-GR"/>
        </w:rPr>
        <w:t xml:space="preserve"> </w:t>
      </w:r>
      <w:proofErr w:type="spellStart"/>
      <w:r w:rsidRPr="009C3AC6">
        <w:rPr>
          <w:lang w:val="el-GR"/>
        </w:rPr>
        <w:t>et</w:t>
      </w:r>
      <w:proofErr w:type="spellEnd"/>
      <w:r w:rsidRPr="009C3AC6">
        <w:rPr>
          <w:lang w:val="el-GR"/>
        </w:rPr>
        <w:t xml:space="preserve"> </w:t>
      </w:r>
      <w:proofErr w:type="spellStart"/>
      <w:r w:rsidRPr="009C3AC6">
        <w:rPr>
          <w:lang w:val="el-GR"/>
        </w:rPr>
        <w:t>al</w:t>
      </w:r>
      <w:proofErr w:type="spellEnd"/>
      <w:r w:rsidRPr="009C3AC6">
        <w:rPr>
          <w:lang w:val="el-GR"/>
        </w:rPr>
        <w:t>., 2015).</w:t>
      </w:r>
    </w:p>
    <w:p w14:paraId="75E29F92" w14:textId="77777777" w:rsidR="000956C9" w:rsidRPr="009C3AC6" w:rsidRDefault="00F56A84">
      <w:pPr>
        <w:rPr>
          <w:lang w:val="el-GR"/>
        </w:rPr>
      </w:pPr>
      <w:r w:rsidRPr="009C3AC6">
        <w:rPr>
          <w:lang w:val="el-GR"/>
        </w:rPr>
        <w:t>Η Θεραπεία Αλληλεπίδρασης Γονέα–Παιδιού (</w:t>
      </w:r>
      <w:proofErr w:type="spellStart"/>
      <w:r w:rsidRPr="009C3AC6">
        <w:rPr>
          <w:lang w:val="el-GR"/>
        </w:rPr>
        <w:t>Parent</w:t>
      </w:r>
      <w:proofErr w:type="spellEnd"/>
      <w:r w:rsidRPr="009C3AC6">
        <w:rPr>
          <w:lang w:val="el-GR"/>
        </w:rPr>
        <w:t>–</w:t>
      </w:r>
      <w:proofErr w:type="spellStart"/>
      <w:r w:rsidRPr="009C3AC6">
        <w:rPr>
          <w:lang w:val="el-GR"/>
        </w:rPr>
        <w:t>Child</w:t>
      </w:r>
      <w:proofErr w:type="spellEnd"/>
      <w:r w:rsidRPr="009C3AC6">
        <w:rPr>
          <w:lang w:val="el-GR"/>
        </w:rPr>
        <w:t xml:space="preserve"> </w:t>
      </w:r>
      <w:proofErr w:type="spellStart"/>
      <w:r w:rsidRPr="009C3AC6">
        <w:rPr>
          <w:lang w:val="el-GR"/>
        </w:rPr>
        <w:t>Interaction</w:t>
      </w:r>
      <w:proofErr w:type="spellEnd"/>
      <w:r w:rsidRPr="009C3AC6">
        <w:rPr>
          <w:lang w:val="el-GR"/>
        </w:rPr>
        <w:t xml:space="preserve"> </w:t>
      </w:r>
      <w:proofErr w:type="spellStart"/>
      <w:r w:rsidRPr="009C3AC6">
        <w:rPr>
          <w:lang w:val="el-GR"/>
        </w:rPr>
        <w:t>Therapy</w:t>
      </w:r>
      <w:proofErr w:type="spellEnd"/>
      <w:r w:rsidRPr="009C3AC6">
        <w:rPr>
          <w:lang w:val="el-GR"/>
        </w:rPr>
        <w:t xml:space="preserve">, PCIT) είναι μια δομημένη παρέμβαση που απευθύνεται κυρίως σε παιδιά ηλικίας 2–7 ετών και στους γονείς τους. Κεντρικό χαρακτηριστικό της αποτελεί η άμεση καθοδήγηση των γονέων κατά την αλληλεπίδρασή τους με το παιδί. Η παρέμβαση επιδιώκει αφενός να ενισχύσει τη θετική επικοινωνία και τη σχέση γονέα–παιδιού και αφετέρου να μειώσει τις αρνητικές, σκληρές ή εξαναγκαστικές πρακτικές, μέσω της εκμάθησης αποτελεσματικών και αναπτυξιακά κατάλληλων τρόπων οριοθέτησης. Η συστηματική ανασκόπηση των </w:t>
      </w:r>
      <w:proofErr w:type="spellStart"/>
      <w:r w:rsidRPr="009C3AC6">
        <w:rPr>
          <w:lang w:val="el-GR"/>
        </w:rPr>
        <w:t>Warren</w:t>
      </w:r>
      <w:proofErr w:type="spellEnd"/>
      <w:r w:rsidRPr="009C3AC6">
        <w:rPr>
          <w:lang w:val="el-GR"/>
        </w:rPr>
        <w:t xml:space="preserve"> </w:t>
      </w:r>
      <w:proofErr w:type="spellStart"/>
      <w:r w:rsidRPr="009C3AC6">
        <w:rPr>
          <w:lang w:val="el-GR"/>
        </w:rPr>
        <w:t>et</w:t>
      </w:r>
      <w:proofErr w:type="spellEnd"/>
      <w:r w:rsidRPr="009C3AC6">
        <w:rPr>
          <w:lang w:val="el-GR"/>
        </w:rPr>
        <w:t xml:space="preserve"> </w:t>
      </w:r>
      <w:proofErr w:type="spellStart"/>
      <w:r w:rsidRPr="009C3AC6">
        <w:rPr>
          <w:lang w:val="el-GR"/>
        </w:rPr>
        <w:t>al</w:t>
      </w:r>
      <w:proofErr w:type="spellEnd"/>
      <w:r w:rsidRPr="009C3AC6">
        <w:rPr>
          <w:lang w:val="el-GR"/>
        </w:rPr>
        <w:t xml:space="preserve">. (2022), η οποία συμπεριέλαβε 40 μελέτες εφαρμογής της PCIT σε πληθυσμούς με έκθεση σε τραυματικές εμπειρίες, κατέγραψε μείωση του γονεϊκού στρες, των αρνητικών </w:t>
      </w:r>
      <w:proofErr w:type="spellStart"/>
      <w:r w:rsidRPr="009C3AC6">
        <w:rPr>
          <w:lang w:val="el-GR"/>
        </w:rPr>
        <w:t>γονεϊκών</w:t>
      </w:r>
      <w:proofErr w:type="spellEnd"/>
      <w:r w:rsidRPr="009C3AC6">
        <w:rPr>
          <w:lang w:val="el-GR"/>
        </w:rPr>
        <w:t xml:space="preserve"> πρακτικών και των προβλημάτων ψυχικής υγείας των γονέων, καθώς και μείωση των προβλημάτων συμπεριφοράς και των συμπτωμάτων τραύματος των παιδιών. Η </w:t>
      </w:r>
      <w:proofErr w:type="spellStart"/>
      <w:r w:rsidRPr="009C3AC6">
        <w:rPr>
          <w:lang w:val="el-GR"/>
        </w:rPr>
        <w:t>μετα</w:t>
      </w:r>
      <w:proofErr w:type="spellEnd"/>
      <w:r w:rsidRPr="009C3AC6">
        <w:rPr>
          <w:lang w:val="el-GR"/>
        </w:rPr>
        <w:t xml:space="preserve">-ανάλυση των </w:t>
      </w:r>
      <w:proofErr w:type="spellStart"/>
      <w:r w:rsidRPr="009C3AC6">
        <w:rPr>
          <w:lang w:val="el-GR"/>
        </w:rPr>
        <w:t>Kennedy</w:t>
      </w:r>
      <w:proofErr w:type="spellEnd"/>
      <w:r w:rsidRPr="009C3AC6">
        <w:rPr>
          <w:lang w:val="el-GR"/>
        </w:rPr>
        <w:t xml:space="preserve"> </w:t>
      </w:r>
      <w:proofErr w:type="spellStart"/>
      <w:r w:rsidRPr="009C3AC6">
        <w:rPr>
          <w:lang w:val="el-GR"/>
        </w:rPr>
        <w:t>et</w:t>
      </w:r>
      <w:proofErr w:type="spellEnd"/>
      <w:r w:rsidRPr="009C3AC6">
        <w:rPr>
          <w:lang w:val="el-GR"/>
        </w:rPr>
        <w:t xml:space="preserve"> </w:t>
      </w:r>
      <w:proofErr w:type="spellStart"/>
      <w:r w:rsidRPr="009C3AC6">
        <w:rPr>
          <w:lang w:val="el-GR"/>
        </w:rPr>
        <w:t>al</w:t>
      </w:r>
      <w:proofErr w:type="spellEnd"/>
      <w:r w:rsidRPr="009C3AC6">
        <w:rPr>
          <w:lang w:val="el-GR"/>
        </w:rPr>
        <w:t>. (2016), η οποία συμπεριέλαβε έξι μελέτες, έδειξε ότι, σε σύγκριση με τις ομάδες ελέγχου, οι γονείς που συμμετείχαν στην παρέμβαση παρουσίασαν σημαντικά λιγότερα νέα περιστατικά σωματικής κακοποίησης και μεγαλύτερη μείωση του γονεϊκού στρες.</w:t>
      </w:r>
    </w:p>
    <w:p w14:paraId="12108872" w14:textId="0F56E206" w:rsidR="000956C9" w:rsidRPr="009C3AC6" w:rsidRDefault="00F56A84">
      <w:pPr>
        <w:rPr>
          <w:lang w:val="el-GR"/>
        </w:rPr>
      </w:pPr>
      <w:r w:rsidRPr="009C3AC6">
        <w:rPr>
          <w:lang w:val="el-GR"/>
        </w:rPr>
        <w:t xml:space="preserve">Η </w:t>
      </w:r>
      <w:proofErr w:type="spellStart"/>
      <w:r w:rsidRPr="009C3AC6">
        <w:rPr>
          <w:lang w:val="el-GR"/>
        </w:rPr>
        <w:t>περιγεννητική</w:t>
      </w:r>
      <w:proofErr w:type="spellEnd"/>
      <w:r w:rsidRPr="009C3AC6">
        <w:rPr>
          <w:lang w:val="el-GR"/>
        </w:rPr>
        <w:t xml:space="preserve"> περίοδος αποτελεί ιδιαίτερα σημαντικό παράθυρο πρόληψης. Η μετάβαση στη γονεϊκότητα μπορεί να </w:t>
      </w:r>
      <w:proofErr w:type="spellStart"/>
      <w:r w:rsidRPr="009C3AC6">
        <w:rPr>
          <w:lang w:val="el-GR"/>
        </w:rPr>
        <w:t>επανενεργοποιήσει</w:t>
      </w:r>
      <w:proofErr w:type="spellEnd"/>
      <w:r w:rsidRPr="009C3AC6">
        <w:rPr>
          <w:lang w:val="el-GR"/>
        </w:rPr>
        <w:t xml:space="preserve"> αναμνήσεις και φόβους που σχετίζονται με προσωπικό ιστορικό κακοποίησης, ενώ ταυτόχρονα αποτελεί περίοδο αυξημένης και επαναλαμβανόμενης επαφής με υπηρεσίες υγείας. Ο καθολικός έλεγχος (</w:t>
      </w:r>
      <w:proofErr w:type="spellStart"/>
      <w:r w:rsidRPr="009C3AC6">
        <w:rPr>
          <w:lang w:val="el-GR"/>
        </w:rPr>
        <w:t>universal</w:t>
      </w:r>
      <w:proofErr w:type="spellEnd"/>
      <w:r w:rsidRPr="009C3AC6">
        <w:rPr>
          <w:lang w:val="el-GR"/>
        </w:rPr>
        <w:t xml:space="preserve"> </w:t>
      </w:r>
      <w:proofErr w:type="spellStart"/>
      <w:r w:rsidRPr="009C3AC6">
        <w:rPr>
          <w:lang w:val="el-GR"/>
        </w:rPr>
        <w:t>screening</w:t>
      </w:r>
      <w:proofErr w:type="spellEnd"/>
      <w:r w:rsidRPr="009C3AC6">
        <w:rPr>
          <w:lang w:val="el-GR"/>
        </w:rPr>
        <w:t xml:space="preserve">) από μόνος του, ωστόσο, δεν βελτιώνει τις δυσμενείς εκβάσεις, εάν δεν συνοδεύεται από ουσιαστική, </w:t>
      </w:r>
      <w:proofErr w:type="spellStart"/>
      <w:r w:rsidRPr="009C3AC6">
        <w:rPr>
          <w:lang w:val="el-GR"/>
        </w:rPr>
        <w:t>προσβάσιμη</w:t>
      </w:r>
      <w:proofErr w:type="spellEnd"/>
      <w:r w:rsidRPr="009C3AC6">
        <w:rPr>
          <w:lang w:val="el-GR"/>
        </w:rPr>
        <w:t xml:space="preserve"> και κατάλληλα διασυνδεδεμένη υποστήριξη (</w:t>
      </w:r>
      <w:proofErr w:type="spellStart"/>
      <w:r w:rsidRPr="009C3AC6">
        <w:rPr>
          <w:lang w:val="el-GR"/>
        </w:rPr>
        <w:t>Mercier</w:t>
      </w:r>
      <w:proofErr w:type="spellEnd"/>
      <w:r w:rsidRPr="009C3AC6">
        <w:rPr>
          <w:lang w:val="el-GR"/>
        </w:rPr>
        <w:t xml:space="preserve"> </w:t>
      </w:r>
      <w:proofErr w:type="spellStart"/>
      <w:r w:rsidRPr="009C3AC6">
        <w:rPr>
          <w:lang w:val="el-GR"/>
        </w:rPr>
        <w:t>et</w:t>
      </w:r>
      <w:proofErr w:type="spellEnd"/>
      <w:r w:rsidRPr="009C3AC6">
        <w:rPr>
          <w:lang w:val="el-GR"/>
        </w:rPr>
        <w:t xml:space="preserve"> </w:t>
      </w:r>
      <w:proofErr w:type="spellStart"/>
      <w:r w:rsidRPr="009C3AC6">
        <w:rPr>
          <w:lang w:val="el-GR"/>
        </w:rPr>
        <w:t>al</w:t>
      </w:r>
      <w:proofErr w:type="spellEnd"/>
      <w:r w:rsidRPr="009C3AC6">
        <w:rPr>
          <w:lang w:val="el-GR"/>
        </w:rPr>
        <w:t xml:space="preserve">., 2024). Προγράμματα όπως τα </w:t>
      </w:r>
      <w:proofErr w:type="spellStart"/>
      <w:r w:rsidRPr="009C3AC6">
        <w:rPr>
          <w:lang w:val="el-GR"/>
        </w:rPr>
        <w:t>Mom</w:t>
      </w:r>
      <w:proofErr w:type="spellEnd"/>
      <w:r w:rsidRPr="009C3AC6">
        <w:rPr>
          <w:lang w:val="el-GR"/>
        </w:rPr>
        <w:t xml:space="preserve"> </w:t>
      </w:r>
      <w:proofErr w:type="spellStart"/>
      <w:r w:rsidRPr="009C3AC6">
        <w:rPr>
          <w:lang w:val="el-GR"/>
        </w:rPr>
        <w:t>Power</w:t>
      </w:r>
      <w:proofErr w:type="spellEnd"/>
      <w:r w:rsidRPr="009C3AC6">
        <w:rPr>
          <w:lang w:val="el-GR"/>
        </w:rPr>
        <w:t xml:space="preserve">, </w:t>
      </w:r>
      <w:proofErr w:type="spellStart"/>
      <w:r w:rsidRPr="009C3AC6">
        <w:rPr>
          <w:lang w:val="el-GR"/>
        </w:rPr>
        <w:t>Child</w:t>
      </w:r>
      <w:proofErr w:type="spellEnd"/>
      <w:r w:rsidRPr="009C3AC6">
        <w:rPr>
          <w:lang w:val="el-GR"/>
        </w:rPr>
        <w:t xml:space="preserve"> FIRST, </w:t>
      </w:r>
      <w:proofErr w:type="spellStart"/>
      <w:r w:rsidRPr="009C3AC6">
        <w:rPr>
          <w:lang w:val="el-GR"/>
        </w:rPr>
        <w:t>Minding</w:t>
      </w:r>
      <w:proofErr w:type="spellEnd"/>
      <w:r w:rsidRPr="009C3AC6">
        <w:rPr>
          <w:lang w:val="el-GR"/>
        </w:rPr>
        <w:t xml:space="preserve"> the </w:t>
      </w:r>
      <w:proofErr w:type="spellStart"/>
      <w:r w:rsidRPr="009C3AC6">
        <w:rPr>
          <w:lang w:val="el-GR"/>
        </w:rPr>
        <w:t>Baby</w:t>
      </w:r>
      <w:proofErr w:type="spellEnd"/>
      <w:r w:rsidRPr="009C3AC6">
        <w:rPr>
          <w:lang w:val="el-GR"/>
        </w:rPr>
        <w:t xml:space="preserve">, </w:t>
      </w:r>
      <w:proofErr w:type="spellStart"/>
      <w:r w:rsidRPr="009C3AC6">
        <w:rPr>
          <w:lang w:val="el-GR"/>
        </w:rPr>
        <w:t>Perinatal</w:t>
      </w:r>
      <w:proofErr w:type="spellEnd"/>
      <w:r w:rsidRPr="009C3AC6">
        <w:rPr>
          <w:lang w:val="el-GR"/>
        </w:rPr>
        <w:t xml:space="preserve"> CPP και </w:t>
      </w:r>
      <w:proofErr w:type="spellStart"/>
      <w:r w:rsidRPr="009C3AC6">
        <w:rPr>
          <w:lang w:val="el-GR"/>
        </w:rPr>
        <w:t>Survivor</w:t>
      </w:r>
      <w:proofErr w:type="spellEnd"/>
      <w:r w:rsidRPr="009C3AC6">
        <w:rPr>
          <w:lang w:val="el-GR"/>
        </w:rPr>
        <w:t xml:space="preserve"> </w:t>
      </w:r>
      <w:proofErr w:type="spellStart"/>
      <w:r w:rsidRPr="009C3AC6">
        <w:rPr>
          <w:lang w:val="el-GR"/>
        </w:rPr>
        <w:t>Moms</w:t>
      </w:r>
      <w:proofErr w:type="spellEnd"/>
      <w:r w:rsidRPr="009C3AC6">
        <w:rPr>
          <w:lang w:val="el-GR"/>
        </w:rPr>
        <w:t xml:space="preserve">’ </w:t>
      </w:r>
      <w:proofErr w:type="spellStart"/>
      <w:r w:rsidRPr="009C3AC6">
        <w:rPr>
          <w:lang w:val="el-GR"/>
        </w:rPr>
        <w:t>Companion</w:t>
      </w:r>
      <w:proofErr w:type="spellEnd"/>
      <w:r w:rsidRPr="009C3AC6">
        <w:rPr>
          <w:lang w:val="el-GR"/>
        </w:rPr>
        <w:t xml:space="preserve"> προσαρμόζουν τη σχεσιακή </w:t>
      </w:r>
      <w:r w:rsidRPr="009C3AC6">
        <w:rPr>
          <w:lang w:val="el-GR"/>
        </w:rPr>
        <w:lastRenderedPageBreak/>
        <w:t xml:space="preserve">προσέγγιση σε διαφορετικά αναπτυξιακά στάδια και ανάγκες. Το </w:t>
      </w:r>
      <w:proofErr w:type="spellStart"/>
      <w:r w:rsidRPr="009C3AC6">
        <w:rPr>
          <w:lang w:val="el-GR"/>
        </w:rPr>
        <w:t>Mom</w:t>
      </w:r>
      <w:proofErr w:type="spellEnd"/>
      <w:r w:rsidRPr="009C3AC6">
        <w:rPr>
          <w:lang w:val="el-GR"/>
        </w:rPr>
        <w:t xml:space="preserve"> </w:t>
      </w:r>
      <w:proofErr w:type="spellStart"/>
      <w:r w:rsidRPr="009C3AC6">
        <w:rPr>
          <w:lang w:val="el-GR"/>
        </w:rPr>
        <w:t>Power</w:t>
      </w:r>
      <w:proofErr w:type="spellEnd"/>
      <w:r w:rsidRPr="009C3AC6">
        <w:rPr>
          <w:lang w:val="el-GR"/>
        </w:rPr>
        <w:t xml:space="preserve"> είναι δομημένο πρόγραμμα δεκατριών συνεδριών (δέκα ομαδικών και τριών ατομικών) που συνδυάζει την </w:t>
      </w:r>
      <w:proofErr w:type="spellStart"/>
      <w:r w:rsidRPr="009C3AC6">
        <w:rPr>
          <w:lang w:val="el-GR"/>
        </w:rPr>
        <w:t>αυτοφροντίδα</w:t>
      </w:r>
      <w:proofErr w:type="spellEnd"/>
      <w:r w:rsidRPr="009C3AC6">
        <w:rPr>
          <w:lang w:val="el-GR"/>
        </w:rPr>
        <w:t xml:space="preserve"> και τη διαχείριση της τραυματικής δυσφορίας με την υποστήριξη της σχέσης μητέρας–παιδιού (</w:t>
      </w:r>
      <w:proofErr w:type="spellStart"/>
      <w:r w:rsidRPr="009C3AC6">
        <w:rPr>
          <w:lang w:val="el-GR"/>
        </w:rPr>
        <w:t>Muzik</w:t>
      </w:r>
      <w:proofErr w:type="spellEnd"/>
      <w:r w:rsidRPr="009C3AC6">
        <w:rPr>
          <w:lang w:val="el-GR"/>
        </w:rPr>
        <w:t xml:space="preserve"> </w:t>
      </w:r>
      <w:proofErr w:type="spellStart"/>
      <w:r w:rsidRPr="009C3AC6">
        <w:rPr>
          <w:lang w:val="el-GR"/>
        </w:rPr>
        <w:t>et</w:t>
      </w:r>
      <w:proofErr w:type="spellEnd"/>
      <w:r w:rsidRPr="009C3AC6">
        <w:rPr>
          <w:lang w:val="el-GR"/>
        </w:rPr>
        <w:t xml:space="preserve"> </w:t>
      </w:r>
      <w:proofErr w:type="spellStart"/>
      <w:r w:rsidRPr="009C3AC6">
        <w:rPr>
          <w:lang w:val="el-GR"/>
        </w:rPr>
        <w:t>al</w:t>
      </w:r>
      <w:proofErr w:type="spellEnd"/>
      <w:r w:rsidRPr="009C3AC6">
        <w:rPr>
          <w:lang w:val="el-GR"/>
        </w:rPr>
        <w:t xml:space="preserve">., 2015). Το </w:t>
      </w:r>
      <w:proofErr w:type="spellStart"/>
      <w:r w:rsidRPr="009C3AC6">
        <w:rPr>
          <w:lang w:val="el-GR"/>
        </w:rPr>
        <w:t>Child</w:t>
      </w:r>
      <w:proofErr w:type="spellEnd"/>
      <w:r w:rsidRPr="009C3AC6">
        <w:rPr>
          <w:lang w:val="el-GR"/>
        </w:rPr>
        <w:t xml:space="preserve"> FIRST συνδέει την κατ’ </w:t>
      </w:r>
      <w:proofErr w:type="spellStart"/>
      <w:r w:rsidRPr="009C3AC6">
        <w:rPr>
          <w:lang w:val="el-GR"/>
        </w:rPr>
        <w:t>οίκον</w:t>
      </w:r>
      <w:proofErr w:type="spellEnd"/>
      <w:r w:rsidRPr="009C3AC6">
        <w:rPr>
          <w:lang w:val="el-GR"/>
        </w:rPr>
        <w:t xml:space="preserve"> ψυχοθεραπεία με τον συντονισμό υπηρεσιών. Σε τυχαιοποιημένη ελεγχόμενη κλινική δοκιμή, οι οικογένειες που συμμετείχαν παρουσίασαν βελτιωμένη γλωσσική ανάπτυξη και μειωμένα προβλήματα συμπεριφοράς στα παιδιά, μειωμένο γονεϊκό στρες και μειωμένη εμπλοκή με τις υπηρεσίες παιδικής προστασίας (</w:t>
      </w:r>
      <w:proofErr w:type="spellStart"/>
      <w:r w:rsidRPr="009C3AC6">
        <w:rPr>
          <w:lang w:val="el-GR"/>
        </w:rPr>
        <w:t>Lowell</w:t>
      </w:r>
      <w:proofErr w:type="spellEnd"/>
      <w:r w:rsidRPr="009C3AC6">
        <w:rPr>
          <w:lang w:val="el-GR"/>
        </w:rPr>
        <w:t xml:space="preserve"> </w:t>
      </w:r>
      <w:proofErr w:type="spellStart"/>
      <w:r w:rsidRPr="009C3AC6">
        <w:rPr>
          <w:lang w:val="el-GR"/>
        </w:rPr>
        <w:t>et</w:t>
      </w:r>
      <w:proofErr w:type="spellEnd"/>
      <w:r w:rsidRPr="009C3AC6">
        <w:rPr>
          <w:lang w:val="el-GR"/>
        </w:rPr>
        <w:t xml:space="preserve"> </w:t>
      </w:r>
      <w:proofErr w:type="spellStart"/>
      <w:r w:rsidRPr="009C3AC6">
        <w:rPr>
          <w:lang w:val="el-GR"/>
        </w:rPr>
        <w:t>al</w:t>
      </w:r>
      <w:proofErr w:type="spellEnd"/>
      <w:r w:rsidRPr="009C3AC6">
        <w:rPr>
          <w:lang w:val="el-GR"/>
        </w:rPr>
        <w:t xml:space="preserve">., 2011). Το </w:t>
      </w:r>
      <w:proofErr w:type="spellStart"/>
      <w:r w:rsidRPr="009C3AC6">
        <w:rPr>
          <w:lang w:val="el-GR"/>
        </w:rPr>
        <w:t>Minding</w:t>
      </w:r>
      <w:proofErr w:type="spellEnd"/>
      <w:r w:rsidRPr="009C3AC6">
        <w:rPr>
          <w:lang w:val="el-GR"/>
        </w:rPr>
        <w:t xml:space="preserve"> the </w:t>
      </w:r>
      <w:proofErr w:type="spellStart"/>
      <w:r w:rsidRPr="009C3AC6">
        <w:rPr>
          <w:lang w:val="el-GR"/>
        </w:rPr>
        <w:t>Baby</w:t>
      </w:r>
      <w:proofErr w:type="spellEnd"/>
      <w:r w:rsidRPr="009C3AC6">
        <w:rPr>
          <w:lang w:val="el-GR"/>
        </w:rPr>
        <w:t xml:space="preserve"> εστιάζει στη γονεϊκή </w:t>
      </w:r>
      <w:proofErr w:type="spellStart"/>
      <w:r w:rsidRPr="009C3AC6">
        <w:rPr>
          <w:lang w:val="el-GR"/>
        </w:rPr>
        <w:t>αναστοχαστική</w:t>
      </w:r>
      <w:proofErr w:type="spellEnd"/>
      <w:r w:rsidRPr="009C3AC6">
        <w:rPr>
          <w:lang w:val="el-GR"/>
        </w:rPr>
        <w:t xml:space="preserve"> λειτουργία, υλοποιείται από διεπιστημονική ομάδα νοσηλεύτριας και κοινωνικής λειτουργού με επισκέψεις κατ’ </w:t>
      </w:r>
      <w:proofErr w:type="spellStart"/>
      <w:r w:rsidRPr="009C3AC6">
        <w:rPr>
          <w:lang w:val="el-GR"/>
        </w:rPr>
        <w:t>οίκον</w:t>
      </w:r>
      <w:proofErr w:type="spellEnd"/>
      <w:r w:rsidRPr="009C3AC6">
        <w:rPr>
          <w:lang w:val="el-GR"/>
        </w:rPr>
        <w:t xml:space="preserve"> από την εγκυμοσύνη έως τα δεύτερα γενέθλια του παιδιού, και έχει συνδεθεί με αύξηση της ασφαλούς και μείωση της αποδιοργανωμένης προσκόλλησης στα βρέφη (</w:t>
      </w:r>
      <w:proofErr w:type="spellStart"/>
      <w:r w:rsidRPr="009C3AC6">
        <w:rPr>
          <w:lang w:val="el-GR"/>
        </w:rPr>
        <w:t>Sadler</w:t>
      </w:r>
      <w:proofErr w:type="spellEnd"/>
      <w:r w:rsidRPr="009C3AC6">
        <w:rPr>
          <w:lang w:val="el-GR"/>
        </w:rPr>
        <w:t xml:space="preserve"> </w:t>
      </w:r>
      <w:proofErr w:type="spellStart"/>
      <w:r w:rsidRPr="009C3AC6">
        <w:rPr>
          <w:lang w:val="el-GR"/>
        </w:rPr>
        <w:t>et</w:t>
      </w:r>
      <w:proofErr w:type="spellEnd"/>
      <w:r w:rsidRPr="009C3AC6">
        <w:rPr>
          <w:lang w:val="el-GR"/>
        </w:rPr>
        <w:t xml:space="preserve"> </w:t>
      </w:r>
      <w:proofErr w:type="spellStart"/>
      <w:r w:rsidRPr="009C3AC6">
        <w:rPr>
          <w:lang w:val="el-GR"/>
        </w:rPr>
        <w:t>al</w:t>
      </w:r>
      <w:proofErr w:type="spellEnd"/>
      <w:r w:rsidRPr="009C3AC6">
        <w:rPr>
          <w:lang w:val="el-GR"/>
        </w:rPr>
        <w:t xml:space="preserve">., 2013·Slade </w:t>
      </w:r>
      <w:proofErr w:type="spellStart"/>
      <w:r w:rsidRPr="009C3AC6">
        <w:rPr>
          <w:lang w:val="el-GR"/>
        </w:rPr>
        <w:t>et</w:t>
      </w:r>
      <w:proofErr w:type="spellEnd"/>
      <w:r w:rsidRPr="009C3AC6">
        <w:rPr>
          <w:lang w:val="el-GR"/>
        </w:rPr>
        <w:t xml:space="preserve"> </w:t>
      </w:r>
      <w:proofErr w:type="spellStart"/>
      <w:r w:rsidRPr="009C3AC6">
        <w:rPr>
          <w:lang w:val="el-GR"/>
        </w:rPr>
        <w:t>al</w:t>
      </w:r>
      <w:proofErr w:type="spellEnd"/>
      <w:r w:rsidRPr="009C3AC6">
        <w:rPr>
          <w:lang w:val="el-GR"/>
        </w:rPr>
        <w:t xml:space="preserve">., 2020). Η </w:t>
      </w:r>
      <w:proofErr w:type="spellStart"/>
      <w:r w:rsidRPr="009C3AC6">
        <w:rPr>
          <w:lang w:val="el-GR"/>
        </w:rPr>
        <w:t>Perinatal</w:t>
      </w:r>
      <w:proofErr w:type="spellEnd"/>
      <w:r w:rsidRPr="009C3AC6">
        <w:rPr>
          <w:lang w:val="el-GR"/>
        </w:rPr>
        <w:t xml:space="preserve"> CPP απευθύνεται ειδικά σε εγκύους που έχουν εκτεθεί σε ενδοοικογενειακή βία, εκτείνεται από την εγκυμοσύνη έως τον έκτο μήνα μετά τον τοκετό, και προκαταρκτικά ευρήματα συνδέουν την εφαρμογή της με βελτίωση της καταθλιπτικής και </w:t>
      </w:r>
      <w:proofErr w:type="spellStart"/>
      <w:r w:rsidRPr="009C3AC6">
        <w:rPr>
          <w:lang w:val="el-GR"/>
        </w:rPr>
        <w:t>μετατραυματικής</w:t>
      </w:r>
      <w:proofErr w:type="spellEnd"/>
      <w:r w:rsidRPr="009C3AC6">
        <w:rPr>
          <w:lang w:val="el-GR"/>
        </w:rPr>
        <w:t xml:space="preserve"> συμπτωματολογίας της μητέρας (</w:t>
      </w:r>
      <w:proofErr w:type="spellStart"/>
      <w:r w:rsidRPr="009C3AC6">
        <w:rPr>
          <w:lang w:val="el-GR"/>
        </w:rPr>
        <w:t>Lieberman</w:t>
      </w:r>
      <w:proofErr w:type="spellEnd"/>
      <w:r w:rsidRPr="009C3AC6">
        <w:rPr>
          <w:lang w:val="el-GR"/>
        </w:rPr>
        <w:t xml:space="preserve"> </w:t>
      </w:r>
      <w:proofErr w:type="spellStart"/>
      <w:r w:rsidRPr="009C3AC6">
        <w:rPr>
          <w:lang w:val="el-GR"/>
        </w:rPr>
        <w:t>et</w:t>
      </w:r>
      <w:proofErr w:type="spellEnd"/>
      <w:r w:rsidRPr="009C3AC6">
        <w:rPr>
          <w:lang w:val="el-GR"/>
        </w:rPr>
        <w:t xml:space="preserve"> </w:t>
      </w:r>
      <w:proofErr w:type="spellStart"/>
      <w:r w:rsidRPr="009C3AC6">
        <w:rPr>
          <w:lang w:val="el-GR"/>
        </w:rPr>
        <w:t>al</w:t>
      </w:r>
      <w:proofErr w:type="spellEnd"/>
      <w:r w:rsidRPr="009C3AC6">
        <w:rPr>
          <w:lang w:val="el-GR"/>
        </w:rPr>
        <w:t xml:space="preserve">., 2009·Lavi </w:t>
      </w:r>
      <w:proofErr w:type="spellStart"/>
      <w:r w:rsidRPr="009C3AC6">
        <w:rPr>
          <w:lang w:val="el-GR"/>
        </w:rPr>
        <w:t>et</w:t>
      </w:r>
      <w:proofErr w:type="spellEnd"/>
      <w:r w:rsidRPr="009C3AC6">
        <w:rPr>
          <w:lang w:val="el-GR"/>
        </w:rPr>
        <w:t xml:space="preserve"> </w:t>
      </w:r>
      <w:proofErr w:type="spellStart"/>
      <w:r w:rsidRPr="009C3AC6">
        <w:rPr>
          <w:lang w:val="el-GR"/>
        </w:rPr>
        <w:t>al</w:t>
      </w:r>
      <w:proofErr w:type="spellEnd"/>
      <w:r w:rsidRPr="009C3AC6">
        <w:rPr>
          <w:lang w:val="el-GR"/>
        </w:rPr>
        <w:t xml:space="preserve">., 2015). Το </w:t>
      </w:r>
      <w:proofErr w:type="spellStart"/>
      <w:r w:rsidRPr="009C3AC6">
        <w:rPr>
          <w:lang w:val="el-GR"/>
        </w:rPr>
        <w:t>Survivor</w:t>
      </w:r>
      <w:proofErr w:type="spellEnd"/>
      <w:r w:rsidRPr="009C3AC6">
        <w:rPr>
          <w:lang w:val="el-GR"/>
        </w:rPr>
        <w:t xml:space="preserve"> </w:t>
      </w:r>
      <w:proofErr w:type="spellStart"/>
      <w:r w:rsidRPr="009C3AC6">
        <w:rPr>
          <w:lang w:val="el-GR"/>
        </w:rPr>
        <w:t>Moms</w:t>
      </w:r>
      <w:proofErr w:type="spellEnd"/>
      <w:r w:rsidRPr="009C3AC6">
        <w:rPr>
          <w:lang w:val="el-GR"/>
        </w:rPr>
        <w:t xml:space="preserve">’ </w:t>
      </w:r>
      <w:proofErr w:type="spellStart"/>
      <w:r w:rsidRPr="009C3AC6">
        <w:rPr>
          <w:lang w:val="el-GR"/>
        </w:rPr>
        <w:t>Companion</w:t>
      </w:r>
      <w:proofErr w:type="spellEnd"/>
      <w:r w:rsidRPr="009C3AC6">
        <w:rPr>
          <w:lang w:val="el-GR"/>
        </w:rPr>
        <w:t xml:space="preserve"> αποτελεί τυποποιημένο πρόγραμμα </w:t>
      </w:r>
      <w:proofErr w:type="spellStart"/>
      <w:r w:rsidRPr="009C3AC6">
        <w:rPr>
          <w:lang w:val="el-GR"/>
        </w:rPr>
        <w:t>ψυχοεκπαίδευσης</w:t>
      </w:r>
      <w:proofErr w:type="spellEnd"/>
      <w:r w:rsidRPr="009C3AC6">
        <w:rPr>
          <w:lang w:val="el-GR"/>
        </w:rPr>
        <w:t xml:space="preserve"> δέκα ενοτήτων αυτοδιδασκαλίας για εγκύους με ιστορικό παιδικής κακοποίησης ή σεξουαλικού τραύματος, με στόχο τη ρύθμιση του συναισθήματος και τη διαχείριση των συμπτωμάτων </w:t>
      </w:r>
      <w:proofErr w:type="spellStart"/>
      <w:r w:rsidRPr="009C3AC6">
        <w:rPr>
          <w:lang w:val="el-GR"/>
        </w:rPr>
        <w:t>μετατραυματικού</w:t>
      </w:r>
      <w:proofErr w:type="spellEnd"/>
      <w:r w:rsidRPr="009C3AC6">
        <w:rPr>
          <w:lang w:val="el-GR"/>
        </w:rPr>
        <w:t xml:space="preserve"> στρες (</w:t>
      </w:r>
      <w:proofErr w:type="spellStart"/>
      <w:r w:rsidRPr="009C3AC6">
        <w:rPr>
          <w:lang w:val="el-GR"/>
        </w:rPr>
        <w:t>Sperlich</w:t>
      </w:r>
      <w:proofErr w:type="spellEnd"/>
      <w:r w:rsidRPr="009C3AC6">
        <w:rPr>
          <w:lang w:val="el-GR"/>
        </w:rPr>
        <w:t xml:space="preserve"> </w:t>
      </w:r>
      <w:proofErr w:type="spellStart"/>
      <w:r w:rsidRPr="009C3AC6">
        <w:rPr>
          <w:lang w:val="el-GR"/>
        </w:rPr>
        <w:t>et</w:t>
      </w:r>
      <w:proofErr w:type="spellEnd"/>
      <w:r w:rsidRPr="009C3AC6">
        <w:rPr>
          <w:lang w:val="el-GR"/>
        </w:rPr>
        <w:t xml:space="preserve"> </w:t>
      </w:r>
      <w:proofErr w:type="spellStart"/>
      <w:r w:rsidRPr="009C3AC6">
        <w:rPr>
          <w:lang w:val="el-GR"/>
        </w:rPr>
        <w:t>al</w:t>
      </w:r>
      <w:proofErr w:type="spellEnd"/>
      <w:r w:rsidRPr="009C3AC6">
        <w:rPr>
          <w:lang w:val="el-GR"/>
        </w:rPr>
        <w:t>., 2011). Τα δύο τελευταία προγράμματα τοποθετούν την έναρξη της πρόληψης ήδη στην εγκυμοσύνη και στην πρώιμη μητρότητα.</w:t>
      </w:r>
    </w:p>
    <w:p w14:paraId="1F4F402D" w14:textId="77777777" w:rsidR="000956C9" w:rsidRPr="009C3AC6" w:rsidRDefault="00F56A84">
      <w:pPr>
        <w:rPr>
          <w:lang w:val="el-GR"/>
        </w:rPr>
      </w:pPr>
      <w:r w:rsidRPr="009C3AC6">
        <w:rPr>
          <w:lang w:val="el-GR"/>
        </w:rPr>
        <w:t xml:space="preserve">Οι παρεμβάσεις θετικής </w:t>
      </w:r>
      <w:proofErr w:type="spellStart"/>
      <w:r w:rsidRPr="009C3AC6">
        <w:rPr>
          <w:lang w:val="el-GR"/>
        </w:rPr>
        <w:t>γονεϊκότητας</w:t>
      </w:r>
      <w:proofErr w:type="spellEnd"/>
      <w:r w:rsidRPr="009C3AC6">
        <w:rPr>
          <w:lang w:val="el-GR"/>
        </w:rPr>
        <w:t xml:space="preserve"> μπορούν να περιορίσουν τη μετάβαση από το μη επεξεργασμένο γονικό τραύμα σε σκληρές, απορριπτικές ή καταναγκαστικές πρακτικές. Συνήθως περιλαμβάνουν </w:t>
      </w:r>
      <w:proofErr w:type="spellStart"/>
      <w:r w:rsidRPr="009C3AC6">
        <w:rPr>
          <w:lang w:val="el-GR"/>
        </w:rPr>
        <w:t>ψυχοεκπαίδευση</w:t>
      </w:r>
      <w:proofErr w:type="spellEnd"/>
      <w:r w:rsidRPr="009C3AC6">
        <w:rPr>
          <w:lang w:val="el-GR"/>
        </w:rPr>
        <w:t xml:space="preserve"> για την ανάπτυξη του παιδιού, εκμάθηση μη βίαιων μορφών πειθαρχίας, διαχείριση του θυμού και του στρες, ενίσχυση της θετικής επικοινωνίας και ανάπτυξη δεξιοτήτων επίλυσης προβλημάτων, και μπορούν να εφαρμοστούν καθολικά ή σε οικογένειες αυξημένου κινδύνου. Χαρακτηριστικό παράδειγμα είναι το ACT </w:t>
      </w:r>
      <w:proofErr w:type="spellStart"/>
      <w:r w:rsidRPr="009C3AC6">
        <w:rPr>
          <w:lang w:val="el-GR"/>
        </w:rPr>
        <w:t>Raising</w:t>
      </w:r>
      <w:proofErr w:type="spellEnd"/>
      <w:r w:rsidRPr="009C3AC6">
        <w:rPr>
          <w:lang w:val="el-GR"/>
        </w:rPr>
        <w:t xml:space="preserve"> </w:t>
      </w:r>
      <w:proofErr w:type="spellStart"/>
      <w:r w:rsidRPr="009C3AC6">
        <w:rPr>
          <w:lang w:val="el-GR"/>
        </w:rPr>
        <w:t>Safe</w:t>
      </w:r>
      <w:proofErr w:type="spellEnd"/>
      <w:r w:rsidRPr="009C3AC6">
        <w:rPr>
          <w:lang w:val="el-GR"/>
        </w:rPr>
        <w:t xml:space="preserve"> </w:t>
      </w:r>
      <w:proofErr w:type="spellStart"/>
      <w:r w:rsidRPr="009C3AC6">
        <w:rPr>
          <w:lang w:val="el-GR"/>
        </w:rPr>
        <w:t>Kids</w:t>
      </w:r>
      <w:proofErr w:type="spellEnd"/>
      <w:r w:rsidRPr="009C3AC6">
        <w:rPr>
          <w:lang w:val="el-GR"/>
        </w:rPr>
        <w:t>, για το οποίο έχουν καταγραφεί θετικές αλλαγές στις γονικές συμπεριφορές και μείωση εχθρικών, επιθετικών και καταναγκαστικών πρακτικών (</w:t>
      </w:r>
      <w:proofErr w:type="spellStart"/>
      <w:r w:rsidRPr="009C3AC6">
        <w:rPr>
          <w:lang w:val="el-GR"/>
        </w:rPr>
        <w:t>Altafim</w:t>
      </w:r>
      <w:proofErr w:type="spellEnd"/>
      <w:r w:rsidRPr="009C3AC6">
        <w:rPr>
          <w:lang w:val="el-GR"/>
        </w:rPr>
        <w:t xml:space="preserve"> </w:t>
      </w:r>
      <w:proofErr w:type="spellStart"/>
      <w:r w:rsidRPr="009C3AC6">
        <w:rPr>
          <w:lang w:val="el-GR"/>
        </w:rPr>
        <w:t>et</w:t>
      </w:r>
      <w:proofErr w:type="spellEnd"/>
      <w:r w:rsidRPr="009C3AC6">
        <w:rPr>
          <w:lang w:val="el-GR"/>
        </w:rPr>
        <w:t xml:space="preserve"> </w:t>
      </w:r>
      <w:proofErr w:type="spellStart"/>
      <w:r w:rsidRPr="009C3AC6">
        <w:rPr>
          <w:lang w:val="el-GR"/>
        </w:rPr>
        <w:t>al</w:t>
      </w:r>
      <w:proofErr w:type="spellEnd"/>
      <w:r w:rsidRPr="009C3AC6">
        <w:rPr>
          <w:lang w:val="el-GR"/>
        </w:rPr>
        <w:t xml:space="preserve">., 2024). Αντίστοιχα, οι κατευθυντήριες οδηγίες του Παγκόσμιου Οργανισμού Υγείας προτείνουν τεκμηριωμένες παρεμβάσεις </w:t>
      </w:r>
      <w:proofErr w:type="spellStart"/>
      <w:r w:rsidRPr="009C3AC6">
        <w:rPr>
          <w:lang w:val="el-GR"/>
        </w:rPr>
        <w:t>γονικότητας</w:t>
      </w:r>
      <w:proofErr w:type="spellEnd"/>
      <w:r w:rsidRPr="009C3AC6">
        <w:rPr>
          <w:lang w:val="el-GR"/>
        </w:rPr>
        <w:t xml:space="preserve"> για γονείς παιδιών ηλικίας 0–17 ετών, με στόχο τη μείωση της παιδικής κακοποίησης και της σκληρής </w:t>
      </w:r>
      <w:proofErr w:type="spellStart"/>
      <w:r w:rsidRPr="009C3AC6">
        <w:rPr>
          <w:lang w:val="el-GR"/>
        </w:rPr>
        <w:t>γονεϊκότητας</w:t>
      </w:r>
      <w:proofErr w:type="spellEnd"/>
      <w:r w:rsidRPr="009C3AC6">
        <w:rPr>
          <w:lang w:val="el-GR"/>
        </w:rPr>
        <w:t xml:space="preserve"> (World Health Organization, 2023). Η γονεϊκή εκπαίδευση, ωστόσο, δεν πρέπει να εφαρμόζεται αποκομμένη από το πλαίσιο της ενδοοικογενειακής βίας. Η αποκλειστική εστίαση στις συμπεριφορές της μητέρας ενδέχεται να μεταφέρει σε εκείνη την ευθύνη για τις επιπτώσεις της βίας που ασκείται από τον δράστη. Η εκπαίδευση στις </w:t>
      </w:r>
      <w:proofErr w:type="spellStart"/>
      <w:r w:rsidRPr="009C3AC6">
        <w:rPr>
          <w:lang w:val="el-GR"/>
        </w:rPr>
        <w:t>γονεϊκές</w:t>
      </w:r>
      <w:proofErr w:type="spellEnd"/>
      <w:r w:rsidRPr="009C3AC6">
        <w:rPr>
          <w:lang w:val="el-GR"/>
        </w:rPr>
        <w:t xml:space="preserve"> δεξιότητες πρέπει, επομένως, να συνδυάζεται με προστασία, θεραπεία του τραύματος και αντιμετώπιση των υλικών και κοινωνικών δυσκολιών.</w:t>
      </w:r>
    </w:p>
    <w:p w14:paraId="3E5DD21E" w14:textId="77777777" w:rsidR="000956C9" w:rsidRPr="009C3AC6" w:rsidRDefault="00F56A84">
      <w:pPr>
        <w:rPr>
          <w:lang w:val="el-GR"/>
        </w:rPr>
      </w:pPr>
      <w:r w:rsidRPr="009C3AC6">
        <w:rPr>
          <w:lang w:val="el-GR"/>
        </w:rPr>
        <w:t xml:space="preserve">Η υποστήριξη του παιδιού δεν πρέπει να περιορίζεται στη βελτίωση της γονεϊκής λειτουργίας. Ορισμένα παιδιά χρειάζονται άμεση, αναπτυξιακά κατάλληλη θεραπευτική παρέμβαση για την επεξεργασία των δικών τους τραυματικών εμπειριών, ανάλογα με την ηλικία τους, το είδος και τη διάρκεια της έκθεσης, τη σχέση τους με τον δράστη και τα εμφανιζόμενα συμπτώματα. Στη συστηματική ανασκόπηση ελεγχόμενων δοκιμών των </w:t>
      </w:r>
      <w:proofErr w:type="spellStart"/>
      <w:r w:rsidRPr="009C3AC6">
        <w:rPr>
          <w:lang w:val="el-GR"/>
        </w:rPr>
        <w:t>Howarth</w:t>
      </w:r>
      <w:proofErr w:type="spellEnd"/>
      <w:r w:rsidRPr="009C3AC6">
        <w:rPr>
          <w:lang w:val="el-GR"/>
        </w:rPr>
        <w:t xml:space="preserve"> </w:t>
      </w:r>
      <w:proofErr w:type="spellStart"/>
      <w:r w:rsidRPr="009C3AC6">
        <w:rPr>
          <w:lang w:val="el-GR"/>
        </w:rPr>
        <w:t>et</w:t>
      </w:r>
      <w:proofErr w:type="spellEnd"/>
      <w:r w:rsidRPr="009C3AC6">
        <w:rPr>
          <w:lang w:val="el-GR"/>
        </w:rPr>
        <w:t xml:space="preserve"> </w:t>
      </w:r>
      <w:proofErr w:type="spellStart"/>
      <w:r w:rsidRPr="009C3AC6">
        <w:rPr>
          <w:lang w:val="el-GR"/>
        </w:rPr>
        <w:t>al</w:t>
      </w:r>
      <w:proofErr w:type="spellEnd"/>
      <w:r w:rsidRPr="009C3AC6">
        <w:rPr>
          <w:lang w:val="el-GR"/>
        </w:rPr>
        <w:t>. (2016), η οποία εξέτασε 13 μελέτες με συνολικά 1.345 συμμετέχοντες/</w:t>
      </w:r>
      <w:proofErr w:type="spellStart"/>
      <w:r w:rsidRPr="009C3AC6">
        <w:rPr>
          <w:lang w:val="el-GR"/>
        </w:rPr>
        <w:t>ουσες</w:t>
      </w:r>
      <w:proofErr w:type="spellEnd"/>
      <w:r w:rsidRPr="009C3AC6">
        <w:rPr>
          <w:lang w:val="el-GR"/>
        </w:rPr>
        <w:t>, η εντατική θεραπεία μέσω παιχνιδιού σε παιδιά 4–10 ετών συνδέθηκε με βελτίωση στα συμπτώματα εσωτερίκευσης και εξωτερίκευσης και στην αυτοεκτίμηση, ενώ οι γνωσιακές-</w:t>
      </w:r>
      <w:proofErr w:type="spellStart"/>
      <w:r w:rsidRPr="009C3AC6">
        <w:rPr>
          <w:lang w:val="el-GR"/>
        </w:rPr>
        <w:t>συμπεριφορικές</w:t>
      </w:r>
      <w:proofErr w:type="spellEnd"/>
      <w:r w:rsidRPr="009C3AC6">
        <w:rPr>
          <w:lang w:val="el-GR"/>
        </w:rPr>
        <w:t xml:space="preserve"> παρεμβάσεις εστιασμένες στο τραύμα βελτίωσαν το άγχος και τα συμπτώματα ΔΜΤΣ σε παιδιά 7–14 ετών (</w:t>
      </w:r>
      <w:proofErr w:type="spellStart"/>
      <w:r w:rsidRPr="009C3AC6">
        <w:rPr>
          <w:lang w:val="el-GR"/>
        </w:rPr>
        <w:t>Cohen</w:t>
      </w:r>
      <w:proofErr w:type="spellEnd"/>
      <w:r w:rsidRPr="009C3AC6">
        <w:rPr>
          <w:lang w:val="el-GR"/>
        </w:rPr>
        <w:t xml:space="preserve"> </w:t>
      </w:r>
      <w:proofErr w:type="spellStart"/>
      <w:r w:rsidRPr="009C3AC6">
        <w:rPr>
          <w:lang w:val="el-GR"/>
        </w:rPr>
        <w:t>et</w:t>
      </w:r>
      <w:proofErr w:type="spellEnd"/>
      <w:r w:rsidRPr="009C3AC6">
        <w:rPr>
          <w:lang w:val="el-GR"/>
        </w:rPr>
        <w:t xml:space="preserve"> </w:t>
      </w:r>
      <w:proofErr w:type="spellStart"/>
      <w:r w:rsidRPr="009C3AC6">
        <w:rPr>
          <w:lang w:val="el-GR"/>
        </w:rPr>
        <w:t>al</w:t>
      </w:r>
      <w:proofErr w:type="spellEnd"/>
      <w:r w:rsidRPr="009C3AC6">
        <w:rPr>
          <w:lang w:val="el-GR"/>
        </w:rPr>
        <w:t xml:space="preserve">., 2011). Ιδιαίτερη σημασία έχει η αντιμετώπιση αισθημάτων ενοχής και ευθύνης, καθώς τα παιδιά μπορεί να πιστεύουν ότι </w:t>
      </w:r>
      <w:r w:rsidRPr="009C3AC6">
        <w:rPr>
          <w:lang w:val="el-GR"/>
        </w:rPr>
        <w:lastRenderedPageBreak/>
        <w:t xml:space="preserve">προκάλεσαν τη βία ή ότι όφειλαν να προστατεύσουν τη μητέρα ή τα αδέλφια τους. Τα ομαδικά </w:t>
      </w:r>
      <w:proofErr w:type="spellStart"/>
      <w:r w:rsidRPr="009C3AC6">
        <w:rPr>
          <w:lang w:val="el-GR"/>
        </w:rPr>
        <w:t>ψυχοεκπαιδευτικά</w:t>
      </w:r>
      <w:proofErr w:type="spellEnd"/>
      <w:r w:rsidRPr="009C3AC6">
        <w:rPr>
          <w:lang w:val="el-GR"/>
        </w:rPr>
        <w:t xml:space="preserve"> προγράμματα, όπως το </w:t>
      </w:r>
      <w:proofErr w:type="spellStart"/>
      <w:r w:rsidRPr="009C3AC6">
        <w:rPr>
          <w:lang w:val="el-GR"/>
        </w:rPr>
        <w:t>Kids</w:t>
      </w:r>
      <w:proofErr w:type="spellEnd"/>
      <w:r w:rsidRPr="009C3AC6">
        <w:rPr>
          <w:lang w:val="el-GR"/>
        </w:rPr>
        <w:t xml:space="preserve">’ </w:t>
      </w:r>
      <w:proofErr w:type="spellStart"/>
      <w:r w:rsidRPr="009C3AC6">
        <w:rPr>
          <w:lang w:val="el-GR"/>
        </w:rPr>
        <w:t>Club</w:t>
      </w:r>
      <w:proofErr w:type="spellEnd"/>
      <w:r w:rsidRPr="009C3AC6">
        <w:rPr>
          <w:lang w:val="el-GR"/>
        </w:rPr>
        <w:t>, περιλαμβάνουν συστηματικά στοιχεία ορθής απόδοσης της ευθύνης για τη βία, δηλαδή ρητή αποδέσμευση του παιδιού από την ενοχή (</w:t>
      </w:r>
      <w:proofErr w:type="spellStart"/>
      <w:r w:rsidRPr="009C3AC6">
        <w:rPr>
          <w:lang w:val="el-GR"/>
        </w:rPr>
        <w:t>Graham-Bermann</w:t>
      </w:r>
      <w:proofErr w:type="spellEnd"/>
      <w:r w:rsidRPr="009C3AC6">
        <w:rPr>
          <w:lang w:val="el-GR"/>
        </w:rPr>
        <w:t xml:space="preserve"> </w:t>
      </w:r>
      <w:proofErr w:type="spellStart"/>
      <w:r w:rsidRPr="009C3AC6">
        <w:rPr>
          <w:lang w:val="el-GR"/>
        </w:rPr>
        <w:t>et</w:t>
      </w:r>
      <w:proofErr w:type="spellEnd"/>
      <w:r w:rsidRPr="009C3AC6">
        <w:rPr>
          <w:lang w:val="el-GR"/>
        </w:rPr>
        <w:t xml:space="preserve"> </w:t>
      </w:r>
      <w:proofErr w:type="spellStart"/>
      <w:r w:rsidRPr="009C3AC6">
        <w:rPr>
          <w:lang w:val="el-GR"/>
        </w:rPr>
        <w:t>al</w:t>
      </w:r>
      <w:proofErr w:type="spellEnd"/>
      <w:r w:rsidRPr="009C3AC6">
        <w:rPr>
          <w:lang w:val="el-GR"/>
        </w:rPr>
        <w:t>., 2007). Κεντρικός στόχος είναι να αποκατασταθεί η αίσθηση ότι η προστασία αποτελεί ευθύνη των ενηλίκων και ότι το παιδί δικαιούται να επιστρέψει σε αναπτυξιακά κατάλληλους ρόλους (</w:t>
      </w:r>
      <w:proofErr w:type="spellStart"/>
      <w:r w:rsidRPr="009C3AC6">
        <w:rPr>
          <w:lang w:val="el-GR"/>
        </w:rPr>
        <w:t>Grych</w:t>
      </w:r>
      <w:proofErr w:type="spellEnd"/>
      <w:r w:rsidRPr="009C3AC6">
        <w:rPr>
          <w:lang w:val="el-GR"/>
        </w:rPr>
        <w:t xml:space="preserve"> </w:t>
      </w:r>
      <w:proofErr w:type="spellStart"/>
      <w:r w:rsidRPr="009C3AC6">
        <w:rPr>
          <w:lang w:val="el-GR"/>
        </w:rPr>
        <w:t>et</w:t>
      </w:r>
      <w:proofErr w:type="spellEnd"/>
      <w:r w:rsidRPr="009C3AC6">
        <w:rPr>
          <w:lang w:val="el-GR"/>
        </w:rPr>
        <w:t xml:space="preserve"> </w:t>
      </w:r>
      <w:proofErr w:type="spellStart"/>
      <w:r w:rsidRPr="009C3AC6">
        <w:rPr>
          <w:lang w:val="el-GR"/>
        </w:rPr>
        <w:t>al</w:t>
      </w:r>
      <w:proofErr w:type="spellEnd"/>
      <w:r w:rsidRPr="009C3AC6">
        <w:rPr>
          <w:lang w:val="el-GR"/>
        </w:rPr>
        <w:t>., 2000).</w:t>
      </w:r>
    </w:p>
    <w:p w14:paraId="3052A596" w14:textId="77777777" w:rsidR="00E63D5B" w:rsidRPr="00132066" w:rsidRDefault="00E63D5B">
      <w:pPr>
        <w:spacing w:after="80"/>
        <w:rPr>
          <w:lang w:val="el-GR"/>
        </w:rPr>
      </w:pPr>
    </w:p>
    <w:p w14:paraId="6DA7396A" w14:textId="77777777" w:rsidR="00E63D5B" w:rsidRPr="00132066" w:rsidRDefault="001F059D">
      <w:pPr>
        <w:pStyle w:val="20"/>
        <w:rPr>
          <w:lang w:val="el-GR"/>
        </w:rPr>
      </w:pPr>
      <w:bookmarkStart w:id="25" w:name="_Toc242134430"/>
      <w:r>
        <w:rPr>
          <w:lang w:val="el-GR"/>
        </w:rPr>
        <w:t>4.3 Ταυτόχρονη αντιμετώπιση της βίας κατά των γυναικών και κατά των παιδιών</w:t>
      </w:r>
      <w:bookmarkEnd w:id="25"/>
    </w:p>
    <w:p w14:paraId="4352941D" w14:textId="77777777" w:rsidR="00E63D5B" w:rsidRPr="00132066" w:rsidRDefault="001F059D">
      <w:pPr>
        <w:rPr>
          <w:lang w:val="el-GR"/>
        </w:rPr>
      </w:pPr>
      <w:r>
        <w:rPr>
          <w:lang w:val="el-GR"/>
        </w:rPr>
        <w:t xml:space="preserve">Η συστηματική ανασκόπηση των </w:t>
      </w:r>
      <w:r>
        <w:t>Bacchus</w:t>
      </w:r>
      <w:r>
        <w:rPr>
          <w:lang w:val="el-GR"/>
        </w:rPr>
        <w:t xml:space="preserve"> </w:t>
      </w:r>
      <w:r>
        <w:t>et</w:t>
      </w:r>
      <w:r>
        <w:rPr>
          <w:lang w:val="el-GR"/>
        </w:rPr>
        <w:t xml:space="preserve"> </w:t>
      </w:r>
      <w:r>
        <w:t>al</w:t>
      </w:r>
      <w:r>
        <w:rPr>
          <w:lang w:val="el-GR"/>
        </w:rPr>
        <w:t>. (2024) υπογραμμίζει ότι η συντροφική βία και η βία κατά των παιδιών συχνά συνυπάρχουν και αντανακλούν κοινές δυναμικές εξουσίας, γι' αυτό και οι παρεμβάσεις που τις αντιμετωπίζουν συνδυαστικά είναι αποτελεσματικότερες. Υπηρεσίες που αντιμετωπίζουν τις μητέρες αποκλειστικά ως θύματα, χωρίς να αναγνωρίζουν τον γονεϊκό τους ρόλο, ή υπηρεσίες παιδικής προστασίας που εστιάζουν στα παιδιά αγνοώντας τη βία προς τις μητέρες, παραβλέπουν κρίσιμες ανάγκες.</w:t>
      </w:r>
    </w:p>
    <w:p w14:paraId="5208F912" w14:textId="77777777" w:rsidR="00E63D5B" w:rsidRPr="00132066" w:rsidRDefault="001F059D">
      <w:pPr>
        <w:pStyle w:val="20"/>
        <w:rPr>
          <w:lang w:val="el-GR"/>
        </w:rPr>
      </w:pPr>
      <w:bookmarkStart w:id="26" w:name="_Toc242134431"/>
      <w:r>
        <w:rPr>
          <w:lang w:val="el-GR"/>
        </w:rPr>
        <w:t>4.4 Παρεμβάσεις προς τους δράστες</w:t>
      </w:r>
      <w:bookmarkEnd w:id="26"/>
    </w:p>
    <w:p w14:paraId="3D480DE4" w14:textId="1329A86B" w:rsidR="00E63D5B" w:rsidRPr="000B7AA5" w:rsidRDefault="001F059D">
      <w:pPr>
        <w:rPr>
          <w:lang w:val="el-GR"/>
        </w:rPr>
      </w:pPr>
      <w:r>
        <w:rPr>
          <w:lang w:val="el-GR"/>
        </w:rPr>
        <w:t>Η αλλαγή των δραστών δεν μπορεί να περιορίζεται στη «διαχείριση θυμού» (</w:t>
      </w:r>
      <w:proofErr w:type="spellStart"/>
      <w:r>
        <w:rPr>
          <w:lang w:val="el-GR"/>
        </w:rPr>
        <w:t>Humphreys</w:t>
      </w:r>
      <w:proofErr w:type="spellEnd"/>
      <w:r>
        <w:rPr>
          <w:lang w:val="el-GR"/>
        </w:rPr>
        <w:t xml:space="preserve"> &amp; </w:t>
      </w:r>
      <w:proofErr w:type="spellStart"/>
      <w:r>
        <w:rPr>
          <w:lang w:val="el-GR"/>
        </w:rPr>
        <w:t>Campo</w:t>
      </w:r>
      <w:proofErr w:type="spellEnd"/>
      <w:r>
        <w:rPr>
          <w:lang w:val="el-GR"/>
        </w:rPr>
        <w:t xml:space="preserve">, 2017). Οι παρεμβάσεις δεν πρέπει να υποκαθιστούν την προστασία των επιζωσών ούτε να </w:t>
      </w:r>
      <w:proofErr w:type="spellStart"/>
      <w:r>
        <w:rPr>
          <w:lang w:val="el-GR"/>
        </w:rPr>
        <w:t>αναπλαισιώνουν</w:t>
      </w:r>
      <w:proofErr w:type="spellEnd"/>
      <w:r>
        <w:rPr>
          <w:lang w:val="el-GR"/>
        </w:rPr>
        <w:t xml:space="preserve"> τη βία ως αμοιβαία «δυσλειτουργία της σχέσης». Η θεραπεία ζεύγους μπορεί να είναι επικίνδυνη όταν υπάρχει ενεργός εξαναγκαστικός έλεγχος (</w:t>
      </w:r>
      <w:proofErr w:type="spellStart"/>
      <w:r>
        <w:rPr>
          <w:lang w:val="el-GR"/>
        </w:rPr>
        <w:t>Stith</w:t>
      </w:r>
      <w:proofErr w:type="spellEnd"/>
      <w:r>
        <w:rPr>
          <w:lang w:val="el-GR"/>
        </w:rPr>
        <w:t xml:space="preserve"> </w:t>
      </w:r>
      <w:proofErr w:type="spellStart"/>
      <w:r>
        <w:rPr>
          <w:lang w:val="el-GR"/>
        </w:rPr>
        <w:t>et</w:t>
      </w:r>
      <w:proofErr w:type="spellEnd"/>
      <w:r>
        <w:rPr>
          <w:lang w:val="el-GR"/>
        </w:rPr>
        <w:t xml:space="preserve"> </w:t>
      </w:r>
      <w:proofErr w:type="spellStart"/>
      <w:r>
        <w:rPr>
          <w:lang w:val="el-GR"/>
        </w:rPr>
        <w:t>al</w:t>
      </w:r>
      <w:proofErr w:type="spellEnd"/>
      <w:r>
        <w:rPr>
          <w:lang w:val="el-GR"/>
        </w:rPr>
        <w:t>., 2003). Το ευρωπαϊκό δίκτυο WWP EN (2023) θέτει ως πρωταρχικό κριτήριο την ασφάλεια των επιζωσών, με παράλληλη υποστήριξη των συντρόφων και των παιδιών και συστηματική εκτίμηση κινδύνου. Τα προγράμματα που εστιάζουν στη γονεϊκή διάσταση (</w:t>
      </w:r>
      <w:proofErr w:type="spellStart"/>
      <w:r>
        <w:rPr>
          <w:lang w:val="el-GR"/>
        </w:rPr>
        <w:t>Caring</w:t>
      </w:r>
      <w:proofErr w:type="spellEnd"/>
      <w:r>
        <w:rPr>
          <w:lang w:val="el-GR"/>
        </w:rPr>
        <w:t xml:space="preserve"> </w:t>
      </w:r>
      <w:proofErr w:type="spellStart"/>
      <w:r>
        <w:rPr>
          <w:lang w:val="el-GR"/>
        </w:rPr>
        <w:t>Dads</w:t>
      </w:r>
      <w:proofErr w:type="spellEnd"/>
      <w:r>
        <w:rPr>
          <w:lang w:val="el-GR"/>
        </w:rPr>
        <w:t xml:space="preserve">, 17 </w:t>
      </w:r>
      <w:proofErr w:type="spellStart"/>
      <w:r>
        <w:rPr>
          <w:lang w:val="el-GR"/>
        </w:rPr>
        <w:t>εβδομάδες·Fathers</w:t>
      </w:r>
      <w:proofErr w:type="spellEnd"/>
      <w:r>
        <w:rPr>
          <w:lang w:val="el-GR"/>
        </w:rPr>
        <w:t xml:space="preserve"> for </w:t>
      </w:r>
      <w:proofErr w:type="spellStart"/>
      <w:r>
        <w:rPr>
          <w:lang w:val="el-GR"/>
        </w:rPr>
        <w:t>Change</w:t>
      </w:r>
      <w:proofErr w:type="spellEnd"/>
      <w:r>
        <w:rPr>
          <w:lang w:val="el-GR"/>
        </w:rPr>
        <w:t>) αξιοποιούν την πατρότητα ως κίνητρο συμμετοχής και έχουν δείξει ενθαρρυντικά αποτελέσματα (</w:t>
      </w:r>
      <w:proofErr w:type="spellStart"/>
      <w:r>
        <w:rPr>
          <w:lang w:val="el-GR"/>
        </w:rPr>
        <w:t>McConnell</w:t>
      </w:r>
      <w:proofErr w:type="spellEnd"/>
      <w:r>
        <w:rPr>
          <w:lang w:val="el-GR"/>
        </w:rPr>
        <w:t xml:space="preserve"> </w:t>
      </w:r>
      <w:proofErr w:type="spellStart"/>
      <w:r>
        <w:rPr>
          <w:lang w:val="el-GR"/>
        </w:rPr>
        <w:t>et</w:t>
      </w:r>
      <w:proofErr w:type="spellEnd"/>
      <w:r>
        <w:rPr>
          <w:lang w:val="el-GR"/>
        </w:rPr>
        <w:t xml:space="preserve"> </w:t>
      </w:r>
      <w:proofErr w:type="spellStart"/>
      <w:r>
        <w:rPr>
          <w:lang w:val="el-GR"/>
        </w:rPr>
        <w:t>al</w:t>
      </w:r>
      <w:proofErr w:type="spellEnd"/>
      <w:r>
        <w:rPr>
          <w:lang w:val="el-GR"/>
        </w:rPr>
        <w:t xml:space="preserve">., 2017·Scott </w:t>
      </w:r>
      <w:proofErr w:type="spellStart"/>
      <w:r>
        <w:rPr>
          <w:lang w:val="el-GR"/>
        </w:rPr>
        <w:t>et</w:t>
      </w:r>
      <w:proofErr w:type="spellEnd"/>
      <w:r>
        <w:rPr>
          <w:lang w:val="el-GR"/>
        </w:rPr>
        <w:t xml:space="preserve"> </w:t>
      </w:r>
      <w:proofErr w:type="spellStart"/>
      <w:r>
        <w:rPr>
          <w:lang w:val="el-GR"/>
        </w:rPr>
        <w:t>al</w:t>
      </w:r>
      <w:proofErr w:type="spellEnd"/>
      <w:r>
        <w:rPr>
          <w:lang w:val="el-GR"/>
        </w:rPr>
        <w:t xml:space="preserve">., 2021·Stover, 2013). Το Project </w:t>
      </w:r>
      <w:proofErr w:type="spellStart"/>
      <w:r>
        <w:rPr>
          <w:lang w:val="el-GR"/>
        </w:rPr>
        <w:t>Mirabal</w:t>
      </w:r>
      <w:proofErr w:type="spellEnd"/>
      <w:r>
        <w:rPr>
          <w:lang w:val="el-GR"/>
        </w:rPr>
        <w:t xml:space="preserve"> (</w:t>
      </w:r>
      <w:proofErr w:type="spellStart"/>
      <w:r>
        <w:rPr>
          <w:lang w:val="el-GR"/>
        </w:rPr>
        <w:t>Kelly</w:t>
      </w:r>
      <w:proofErr w:type="spellEnd"/>
      <w:r>
        <w:rPr>
          <w:lang w:val="el-GR"/>
        </w:rPr>
        <w:t xml:space="preserve"> &amp; </w:t>
      </w:r>
      <w:proofErr w:type="spellStart"/>
      <w:r>
        <w:rPr>
          <w:lang w:val="el-GR"/>
        </w:rPr>
        <w:t>Westmarland</w:t>
      </w:r>
      <w:proofErr w:type="spellEnd"/>
      <w:r>
        <w:rPr>
          <w:lang w:val="el-GR"/>
        </w:rPr>
        <w:t xml:space="preserve">, 2015) ανέδειξε ότι η αξιολόγηση των προγραμμάτων πρέπει να υπερβαίνει την απλή καταμέτρηση νέων περιστατικών και να μετρά την πραγματική ασφάλεια και ελευθερία των επιζωσών, με πληροφορίες και από τις ίδιες. Η συνολική τεκμηρίωση για τα προγράμματα δραστών παραμένει σύνθετη: οι </w:t>
      </w:r>
      <w:proofErr w:type="spellStart"/>
      <w:r>
        <w:rPr>
          <w:lang w:val="el-GR"/>
        </w:rPr>
        <w:t>μετα</w:t>
      </w:r>
      <w:proofErr w:type="spellEnd"/>
      <w:r>
        <w:rPr>
          <w:lang w:val="el-GR"/>
        </w:rPr>
        <w:t>-αναλύσεις καταγράφουν μικρές επιδράσεις στη μείωση της υποτροπής, με περισσότερο υποσχόμενα αποτελέσματα για παρεμβάσεις που προσαρμόζονται στο επίπεδο κινδύνου και στις ιδιαίτερες ανάγκες του δράστη, αντί να εφαρμόζουν ένα ενιαίο μοντέλο σε όλους (</w:t>
      </w:r>
      <w:proofErr w:type="spellStart"/>
      <w:r>
        <w:rPr>
          <w:lang w:val="el-GR"/>
        </w:rPr>
        <w:t>Babcock</w:t>
      </w:r>
      <w:proofErr w:type="spellEnd"/>
      <w:r>
        <w:rPr>
          <w:lang w:val="el-GR"/>
        </w:rPr>
        <w:t xml:space="preserve"> </w:t>
      </w:r>
      <w:proofErr w:type="spellStart"/>
      <w:r>
        <w:rPr>
          <w:lang w:val="el-GR"/>
        </w:rPr>
        <w:t>et</w:t>
      </w:r>
      <w:proofErr w:type="spellEnd"/>
      <w:r>
        <w:rPr>
          <w:lang w:val="el-GR"/>
        </w:rPr>
        <w:t xml:space="preserve"> </w:t>
      </w:r>
      <w:proofErr w:type="spellStart"/>
      <w:r>
        <w:rPr>
          <w:lang w:val="el-GR"/>
        </w:rPr>
        <w:t>al</w:t>
      </w:r>
      <w:proofErr w:type="spellEnd"/>
      <w:r>
        <w:rPr>
          <w:lang w:val="el-GR"/>
        </w:rPr>
        <w:t xml:space="preserve">., 2004 </w:t>
      </w:r>
      <w:proofErr w:type="spellStart"/>
      <w:r>
        <w:rPr>
          <w:lang w:val="el-GR"/>
        </w:rPr>
        <w:t>Travers</w:t>
      </w:r>
      <w:proofErr w:type="spellEnd"/>
      <w:r>
        <w:rPr>
          <w:lang w:val="el-GR"/>
        </w:rPr>
        <w:t xml:space="preserve"> et </w:t>
      </w:r>
      <w:proofErr w:type="spellStart"/>
      <w:r>
        <w:rPr>
          <w:lang w:val="el-GR"/>
        </w:rPr>
        <w:t>al</w:t>
      </w:r>
      <w:proofErr w:type="spellEnd"/>
      <w:r>
        <w:rPr>
          <w:lang w:val="el-GR"/>
        </w:rPr>
        <w:t>., 2021). Η έναρξη ή ακόμη και η ολοκλήρωση ενός προγράμματος δεν αποτελεί από μόνη της απόδειξη αλλαγής και δεν δικαιολογεί χαλάρωση των μέτρων προστασίας, αύξηση της επικοινωνίας με τις επιζώσες ή διεύρυνση της επαφής με τα παιδιά.</w:t>
      </w:r>
    </w:p>
    <w:p w14:paraId="1049C251" w14:textId="77777777" w:rsidR="00E63D5B" w:rsidRPr="00132066" w:rsidRDefault="001F059D">
      <w:pPr>
        <w:pStyle w:val="20"/>
        <w:rPr>
          <w:lang w:val="el-GR"/>
        </w:rPr>
      </w:pPr>
      <w:bookmarkStart w:id="27" w:name="_Toc242134432"/>
      <w:r>
        <w:rPr>
          <w:lang w:val="el-GR"/>
        </w:rPr>
        <w:t>4.5 Κοινωνική και οικονομική αποκατάσταση</w:t>
      </w:r>
      <w:bookmarkEnd w:id="27"/>
    </w:p>
    <w:p w14:paraId="78B052C6" w14:textId="77777777" w:rsidR="00E63D5B" w:rsidRPr="00132066" w:rsidRDefault="001F059D">
      <w:pPr>
        <w:rPr>
          <w:lang w:val="el-GR"/>
        </w:rPr>
      </w:pPr>
      <w:r>
        <w:rPr>
          <w:lang w:val="el-GR"/>
        </w:rPr>
        <w:t xml:space="preserve">Η πρόληψη της </w:t>
      </w:r>
      <w:proofErr w:type="spellStart"/>
      <w:r>
        <w:rPr>
          <w:lang w:val="el-GR"/>
        </w:rPr>
        <w:t>διαγενεακής</w:t>
      </w:r>
      <w:proofErr w:type="spellEnd"/>
      <w:r>
        <w:rPr>
          <w:lang w:val="el-GR"/>
        </w:rPr>
        <w:t xml:space="preserve"> μετάδοσης δεν περιορίζεται στο θεραπευτικό δωμάτιο. Η οικονομική εξάρτηση, η επισφαλής στέγαση, η ανεργία και η έλλειψη φροντίδας για τα παιδιά εμποδίζουν την απομάκρυνση από τη βία ή οδηγούν σε επιστροφή (</w:t>
      </w:r>
      <w:r>
        <w:t>Cameron</w:t>
      </w:r>
      <w:r>
        <w:rPr>
          <w:lang w:val="el-GR"/>
        </w:rPr>
        <w:t xml:space="preserve"> </w:t>
      </w:r>
      <w:r>
        <w:t>et</w:t>
      </w:r>
      <w:r>
        <w:rPr>
          <w:lang w:val="el-GR"/>
        </w:rPr>
        <w:t xml:space="preserve"> </w:t>
      </w:r>
      <w:r>
        <w:t>al</w:t>
      </w:r>
      <w:r>
        <w:rPr>
          <w:lang w:val="el-GR"/>
        </w:rPr>
        <w:t xml:space="preserve">., 2025). Οι παρεμβάσεις μακροχρόνιας αποκατάστασης χρειάζεται να συνδυάζουν τη θεραπεία με ασφαλή στέγαση, οικονομική υποστήριξη, επαγγελματική κατάρτιση, νομική συμβουλευτική και ενίσχυση των κοινωνικών δικτύων. Η έκθεση της </w:t>
      </w:r>
      <w:r>
        <w:t>World</w:t>
      </w:r>
      <w:r w:rsidRPr="000B7AA5">
        <w:rPr>
          <w:lang w:val="el-GR"/>
        </w:rPr>
        <w:t xml:space="preserve"> </w:t>
      </w:r>
      <w:r>
        <w:t>Bank</w:t>
      </w:r>
      <w:r w:rsidRPr="000B7AA5">
        <w:rPr>
          <w:lang w:val="el-GR"/>
        </w:rPr>
        <w:t xml:space="preserve"> και του </w:t>
      </w:r>
      <w:r>
        <w:t>Innovations</w:t>
      </w:r>
      <w:r w:rsidRPr="000B7AA5">
        <w:rPr>
          <w:lang w:val="el-GR"/>
        </w:rPr>
        <w:t xml:space="preserve"> </w:t>
      </w:r>
      <w:r>
        <w:t>for</w:t>
      </w:r>
      <w:r w:rsidRPr="000B7AA5">
        <w:rPr>
          <w:lang w:val="el-GR"/>
        </w:rPr>
        <w:t xml:space="preserve"> </w:t>
      </w:r>
      <w:r>
        <w:t>Poverty</w:t>
      </w:r>
      <w:r w:rsidRPr="000B7AA5">
        <w:rPr>
          <w:lang w:val="el-GR"/>
        </w:rPr>
        <w:t xml:space="preserve"> </w:t>
      </w:r>
      <w:r>
        <w:t>Action</w:t>
      </w:r>
      <w:r>
        <w:rPr>
          <w:lang w:val="el-GR"/>
        </w:rPr>
        <w:t xml:space="preserve"> (2024) </w:t>
      </w:r>
      <w:r>
        <w:rPr>
          <w:lang w:val="el-GR"/>
        </w:rPr>
        <w:lastRenderedPageBreak/>
        <w:t>επιβεβαιώνει ότι τα προγράμματα κοινωνικής πρόνοιας και οι χρηματικές μεταβιβάσεις μπορούν να συμβάλουν στη μείωση της βίας, ενώ οι ομάδες αλληλοϋποστήριξης επιζωσών μειώνουν την απομόνωση και τη ντροπή (</w:t>
      </w:r>
      <w:r>
        <w:t>Spotlight</w:t>
      </w:r>
      <w:r>
        <w:rPr>
          <w:lang w:val="el-GR"/>
        </w:rPr>
        <w:t xml:space="preserve"> </w:t>
      </w:r>
      <w:r>
        <w:t>Initiative</w:t>
      </w:r>
      <w:r>
        <w:rPr>
          <w:lang w:val="el-GR"/>
        </w:rPr>
        <w:t>, 2021).</w:t>
      </w:r>
    </w:p>
    <w:p w14:paraId="1F645C5C" w14:textId="77777777" w:rsidR="00E63D5B" w:rsidRPr="00132066" w:rsidRDefault="001F059D">
      <w:pPr>
        <w:pStyle w:val="20"/>
        <w:rPr>
          <w:lang w:val="el-GR"/>
        </w:rPr>
      </w:pPr>
      <w:bookmarkStart w:id="28" w:name="_Toc242134433"/>
      <w:r>
        <w:rPr>
          <w:lang w:val="el-GR"/>
        </w:rPr>
        <w:t>4.6 Έγκαιρη αναγνώριση, συντονισμός και καθολική πρόληψη</w:t>
      </w:r>
      <w:bookmarkEnd w:id="28"/>
    </w:p>
    <w:p w14:paraId="6837F496" w14:textId="77777777" w:rsidR="00E63D5B" w:rsidRPr="00132066" w:rsidRDefault="001F059D">
      <w:pPr>
        <w:rPr>
          <w:lang w:val="el-GR"/>
        </w:rPr>
      </w:pPr>
      <w:r>
        <w:rPr>
          <w:lang w:val="el-GR"/>
        </w:rPr>
        <w:t>Οι επαγγελματίες πρώτης γραμμής (μαίες, παιδίατροι, νοσηλευτές/τριες, εκπαιδευτικοί, κοινωνικοί/</w:t>
      </w:r>
      <w:proofErr w:type="spellStart"/>
      <w:r>
        <w:rPr>
          <w:lang w:val="el-GR"/>
        </w:rPr>
        <w:t>ές</w:t>
      </w:r>
      <w:proofErr w:type="spellEnd"/>
      <w:r>
        <w:rPr>
          <w:lang w:val="el-GR"/>
        </w:rPr>
        <w:t xml:space="preserve"> λειτουργοί) βρίσκονται σε προνομιακή θέση για την αναγνώριση του τραύματος (</w:t>
      </w:r>
      <w:r>
        <w:t>Isobel</w:t>
      </w:r>
      <w:r>
        <w:rPr>
          <w:lang w:val="el-GR"/>
        </w:rPr>
        <w:t xml:space="preserve"> </w:t>
      </w:r>
      <w:r>
        <w:t>et</w:t>
      </w:r>
      <w:r>
        <w:rPr>
          <w:lang w:val="el-GR"/>
        </w:rPr>
        <w:t xml:space="preserve"> </w:t>
      </w:r>
      <w:r>
        <w:t>al</w:t>
      </w:r>
      <w:r>
        <w:rPr>
          <w:lang w:val="el-GR"/>
        </w:rPr>
        <w:t>., 2019). Η ανίχνευση, ωστόσο, δεν αποτελεί αυτοσκοπό: η διερεύνηση τραυματικών εμπειριών χωρίς δυνατότητα βοήθειας, προστασία της εμπιστευτικότητας και σαφή διαδρομή παραπομπής μπορεί να αυξήσει τον κίνδυνο (</w:t>
      </w:r>
      <w:r>
        <w:t>UN</w:t>
      </w:r>
      <w:r>
        <w:rPr>
          <w:lang w:val="el-GR"/>
        </w:rPr>
        <w:t xml:space="preserve"> </w:t>
      </w:r>
      <w:r>
        <w:t>Women</w:t>
      </w:r>
      <w:r>
        <w:rPr>
          <w:lang w:val="el-GR"/>
        </w:rPr>
        <w:t>, 2022</w:t>
      </w:r>
      <w:r>
        <w:t>b</w:t>
      </w:r>
      <w:r>
        <w:rPr>
          <w:lang w:val="el-GR"/>
        </w:rPr>
        <w:t>). Τα ολοκληρωμένα κέντρα «μίας στάσης» μειώνουν την ανάγκη επαναλαμβανόμενης αφήγησης (</w:t>
      </w:r>
      <w:r>
        <w:t>WHO</w:t>
      </w:r>
      <w:r>
        <w:rPr>
          <w:lang w:val="el-GR"/>
        </w:rPr>
        <w:t xml:space="preserve">, 2016). Σε επίπεδο καθολικής πρόληψης, τα σχολικά και κοινοτικά προγράμματα που αμφισβητούν τα </w:t>
      </w:r>
      <w:proofErr w:type="spellStart"/>
      <w:r>
        <w:rPr>
          <w:lang w:val="el-GR"/>
        </w:rPr>
        <w:t>έμφυλα</w:t>
      </w:r>
      <w:proofErr w:type="spellEnd"/>
      <w:r>
        <w:rPr>
          <w:lang w:val="el-GR"/>
        </w:rPr>
        <w:t xml:space="preserve"> στερεότυπα, προάγουν τη συναίνεση και διδάσκουν μη βίαιη επίλυση συγκρούσεων μπορούν να περιορίσουν την </w:t>
      </w:r>
      <w:proofErr w:type="spellStart"/>
      <w:r>
        <w:rPr>
          <w:lang w:val="el-GR"/>
        </w:rPr>
        <w:t>κανονικοποίηση</w:t>
      </w:r>
      <w:proofErr w:type="spellEnd"/>
      <w:r>
        <w:rPr>
          <w:lang w:val="el-GR"/>
        </w:rPr>
        <w:t xml:space="preserve"> του ελέγχου στις μελλοντικές σχέσεις (</w:t>
      </w:r>
      <w:r>
        <w:t>Ullman</w:t>
      </w:r>
      <w:r>
        <w:rPr>
          <w:lang w:val="el-GR"/>
        </w:rPr>
        <w:t xml:space="preserve"> </w:t>
      </w:r>
      <w:r>
        <w:t>et</w:t>
      </w:r>
      <w:r>
        <w:rPr>
          <w:lang w:val="el-GR"/>
        </w:rPr>
        <w:t xml:space="preserve"> </w:t>
      </w:r>
      <w:r>
        <w:t>al</w:t>
      </w:r>
      <w:r>
        <w:rPr>
          <w:lang w:val="el-GR"/>
        </w:rPr>
        <w:t xml:space="preserve">., 2025). Στην Ελλάδα, το υπάρχον δίκτυο δομών μπορεί να αποτελέσει τη βάση ενός ολοκληρωμένου μοντέλου </w:t>
      </w:r>
      <w:proofErr w:type="spellStart"/>
      <w:r>
        <w:rPr>
          <w:lang w:val="el-GR"/>
        </w:rPr>
        <w:t>διαγενεακής</w:t>
      </w:r>
      <w:proofErr w:type="spellEnd"/>
      <w:r>
        <w:rPr>
          <w:lang w:val="el-GR"/>
        </w:rPr>
        <w:t xml:space="preserve"> πρόληψης, με προϋποθέσεις τα κοινά πρωτόκολλα παραπομπής, τη σταθερή χρηματοδότηση, τη γεωγραφική ισότητα πρόσβασης, τις εξειδικευμένες υπηρεσίες για παιδιά και τη συστηματική αξιολόγηση (ΓΓΙΑΔ, 2026).</w:t>
      </w:r>
    </w:p>
    <w:p w14:paraId="45AEFD0D" w14:textId="77777777" w:rsidR="00E63D5B" w:rsidRPr="00132066" w:rsidRDefault="001F059D">
      <w:pPr>
        <w:pStyle w:val="20"/>
        <w:rPr>
          <w:lang w:val="el-GR"/>
        </w:rPr>
      </w:pPr>
      <w:bookmarkStart w:id="29" w:name="_Toc242134434"/>
      <w:r>
        <w:rPr>
          <w:lang w:val="el-GR"/>
        </w:rPr>
        <w:t>4.7 Περιορισμοί της υπάρχουσας τεκμηρίωσης</w:t>
      </w:r>
      <w:bookmarkEnd w:id="29"/>
    </w:p>
    <w:p w14:paraId="652EBE67" w14:textId="77777777" w:rsidR="00E63D5B" w:rsidRPr="00132066" w:rsidRDefault="001F059D">
      <w:pPr>
        <w:rPr>
          <w:lang w:val="el-GR"/>
        </w:rPr>
      </w:pPr>
      <w:r>
        <w:rPr>
          <w:lang w:val="el-GR"/>
        </w:rPr>
        <w:t xml:space="preserve">Πολλές παρεμβάσεις για ενήλικα άτομα παραμένουν </w:t>
      </w:r>
      <w:proofErr w:type="spellStart"/>
      <w:r>
        <w:rPr>
          <w:lang w:val="el-GR"/>
        </w:rPr>
        <w:t>ατομοκεντρικές</w:t>
      </w:r>
      <w:proofErr w:type="spellEnd"/>
      <w:r>
        <w:rPr>
          <w:lang w:val="el-GR"/>
        </w:rPr>
        <w:t xml:space="preserve"> και δεν ενσωματώνουν το παιδί ή τη σχέση γονέα–παιδιού. Οι περισσότερες μελέτες μετρούν εγγύτερες εκβάσεις (μείωση συμπτωμάτων, βελτίωση πρακτικών) και όχι τη μακροπρόθεσμη διακοπή της μετάδοσης, και η αποτελεσματικότητα μιας παρέμβασης δεν μπορεί να αξιολογηθεί ανεξάρτητα από το κοινωνικό και θεσμικό πλαίσιο, καθώς μια θεραπευτική βελτίωση δύσκολα διατηρείται όταν συνεχίζεται η βία μετά τον χωρισμό ή η οικονομική ανασφάλεια. Τέλος, η αναγνώριση του κινδύνου </w:t>
      </w:r>
      <w:proofErr w:type="spellStart"/>
      <w:r>
        <w:rPr>
          <w:lang w:val="el-GR"/>
        </w:rPr>
        <w:t>διαγενεακής</w:t>
      </w:r>
      <w:proofErr w:type="spellEnd"/>
      <w:r>
        <w:rPr>
          <w:lang w:val="el-GR"/>
        </w:rPr>
        <w:t xml:space="preserve"> μετάδοσης δεν πρέπει να οδηγεί σε ντετερμινιστικές ερμηνείες ή σε στιγματισμό των μητέρων (</w:t>
      </w:r>
      <w:r>
        <w:t>Isobel</w:t>
      </w:r>
      <w:r>
        <w:rPr>
          <w:lang w:val="el-GR"/>
        </w:rPr>
        <w:t xml:space="preserve"> </w:t>
      </w:r>
      <w:r>
        <w:t>et</w:t>
      </w:r>
      <w:r>
        <w:rPr>
          <w:lang w:val="el-GR"/>
        </w:rPr>
        <w:t xml:space="preserve"> </w:t>
      </w:r>
      <w:r>
        <w:t>al</w:t>
      </w:r>
      <w:r>
        <w:rPr>
          <w:lang w:val="el-GR"/>
        </w:rPr>
        <w:t>., 2019·</w:t>
      </w:r>
      <w:r>
        <w:t>Narayan</w:t>
      </w:r>
      <w:r>
        <w:rPr>
          <w:lang w:val="el-GR"/>
        </w:rPr>
        <w:t xml:space="preserve"> </w:t>
      </w:r>
      <w:r>
        <w:t>et</w:t>
      </w:r>
      <w:r>
        <w:rPr>
          <w:lang w:val="el-GR"/>
        </w:rPr>
        <w:t xml:space="preserve"> </w:t>
      </w:r>
      <w:r>
        <w:t>al</w:t>
      </w:r>
      <w:r>
        <w:rPr>
          <w:lang w:val="el-GR"/>
        </w:rPr>
        <w:t>., 2021).</w:t>
      </w:r>
    </w:p>
    <w:tbl>
      <w:tblPr>
        <w:tblStyle w:val="aff5"/>
        <w:tblW w:w="9072" w:type="dxa"/>
        <w:jc w:val="center"/>
        <w:tblLayout w:type="fixed"/>
        <w:tblLook w:val="0400" w:firstRow="0" w:lastRow="0" w:firstColumn="0" w:lastColumn="0" w:noHBand="0" w:noVBand="1"/>
      </w:tblPr>
      <w:tblGrid>
        <w:gridCol w:w="9072"/>
      </w:tblGrid>
      <w:tr w:rsidR="00E63D5B" w:rsidRPr="00D84B1E" w14:paraId="437E6021" w14:textId="77777777">
        <w:trPr>
          <w:tblHeader/>
          <w:jc w:val="center"/>
        </w:trPr>
        <w:tc>
          <w:tcPr>
            <w:tcW w:w="9072" w:type="dxa"/>
            <w:tcBorders>
              <w:top w:val="single" w:sz="6" w:space="0" w:color="B7C7DE"/>
              <w:left w:val="single" w:sz="6" w:space="0" w:color="B7C7DE"/>
              <w:bottom w:val="single" w:sz="6" w:space="0" w:color="B7C7DE"/>
              <w:right w:val="single" w:sz="6" w:space="0" w:color="B7C7DE"/>
            </w:tcBorders>
            <w:shd w:val="clear" w:color="auto" w:fill="EEF2F8"/>
          </w:tcPr>
          <w:p w14:paraId="4D4B57B9" w14:textId="77777777" w:rsidR="00E63D5B" w:rsidRPr="00132066" w:rsidRDefault="001F059D">
            <w:pPr>
              <w:pStyle w:val="20"/>
              <w:rPr>
                <w:lang w:val="el-GR"/>
              </w:rPr>
            </w:pPr>
            <w:bookmarkStart w:id="30" w:name="_Toc242134435"/>
            <w:r>
              <w:rPr>
                <w:lang w:val="el-GR"/>
              </w:rPr>
              <w:lastRenderedPageBreak/>
              <w:t>4.8 Συνθετικό μοντέλο παρέμβασης βάσει των καλών πρακτικών</w:t>
            </w:r>
            <w:bookmarkEnd w:id="30"/>
          </w:p>
          <w:p w14:paraId="5E713A08" w14:textId="77777777" w:rsidR="000956C9" w:rsidRPr="009C3AC6" w:rsidRDefault="00F56A84">
            <w:pPr>
              <w:rPr>
                <w:lang w:val="el-GR"/>
              </w:rPr>
            </w:pPr>
            <w:r w:rsidRPr="009C3AC6">
              <w:rPr>
                <w:lang w:val="el-GR"/>
              </w:rPr>
              <w:t xml:space="preserve">Συνολικά, οι διαθέσιμες ενδείξεις υποστηρίζουν ένα </w:t>
            </w:r>
            <w:proofErr w:type="spellStart"/>
            <w:r w:rsidRPr="009C3AC6">
              <w:rPr>
                <w:lang w:val="el-GR"/>
              </w:rPr>
              <w:t>πολυεπίπεδο</w:t>
            </w:r>
            <w:proofErr w:type="spellEnd"/>
            <w:r w:rsidRPr="009C3AC6">
              <w:rPr>
                <w:lang w:val="el-GR"/>
              </w:rPr>
              <w:t xml:space="preserve"> και </w:t>
            </w:r>
            <w:proofErr w:type="spellStart"/>
            <w:r w:rsidRPr="009C3AC6">
              <w:rPr>
                <w:lang w:val="el-GR"/>
              </w:rPr>
              <w:t>σχεσιοκεντρικό</w:t>
            </w:r>
            <w:proofErr w:type="spellEnd"/>
            <w:r w:rsidRPr="009C3AC6">
              <w:rPr>
                <w:lang w:val="el-GR"/>
              </w:rPr>
              <w:t xml:space="preserve"> μοντέλο πρόληψης της </w:t>
            </w:r>
            <w:proofErr w:type="spellStart"/>
            <w:r w:rsidRPr="009C3AC6">
              <w:rPr>
                <w:lang w:val="el-GR"/>
              </w:rPr>
              <w:t>διαγενεακής</w:t>
            </w:r>
            <w:proofErr w:type="spellEnd"/>
            <w:r w:rsidRPr="009C3AC6">
              <w:rPr>
                <w:lang w:val="el-GR"/>
              </w:rPr>
              <w:t xml:space="preserve"> μετάδοσης του τραύματος. Το μοντέλο αυτό ξεκινά με την προστασία των γυναικών και των παιδιών από τη συνεχιζόμενη βία, συνεχίζεται με την επεξεργασία του γονικού τραύματος και την άμεση υποστήριξη του παιδιού και επεκτείνεται στην ενίσχυση της σχέσης γονέα–παιδιού, στη θετική γονεϊκότητα, στη λογοδοσία και την παρέμβαση προς τους δράστες, στην κοινωνική και οικονομική αποκατάσταση και στην αλλαγή των κοινωνικών προτύπων που νομιμοποιούν τη βία. Τα επίπεδά του περιγράφονται στη συνέχεια.</w:t>
            </w:r>
          </w:p>
          <w:p w14:paraId="38CC3F57" w14:textId="402ED91A" w:rsidR="000956C9" w:rsidRPr="009C3AC6" w:rsidRDefault="00F56A84">
            <w:pPr>
              <w:rPr>
                <w:lang w:val="el-GR"/>
              </w:rPr>
            </w:pPr>
            <w:r w:rsidRPr="009C3AC6">
              <w:rPr>
                <w:lang w:val="el-GR"/>
              </w:rPr>
              <w:t xml:space="preserve">Η πραγματική και η ψυχολογική ασφάλεια αποτελούν την αφετηρία κάθε προσπάθειας διακοπής της </w:t>
            </w:r>
            <w:proofErr w:type="spellStart"/>
            <w:r w:rsidRPr="009C3AC6">
              <w:rPr>
                <w:lang w:val="el-GR"/>
              </w:rPr>
              <w:t>διαγενεακής</w:t>
            </w:r>
            <w:proofErr w:type="spellEnd"/>
            <w:r w:rsidRPr="009C3AC6">
              <w:rPr>
                <w:lang w:val="el-GR"/>
              </w:rPr>
              <w:t xml:space="preserve"> μετάδοσης. Σύμφωνα με το σταδιακό μοντέλο αποκατάστασης του τραύματος, η θεραπευτική επεξεργασία δεν μπορεί να προηγείται της προστασίας από την τρέχουσα ή επαπειλούμενη βία (</w:t>
            </w:r>
            <w:proofErr w:type="spellStart"/>
            <w:r w:rsidRPr="009C3AC6">
              <w:rPr>
                <w:lang w:val="el-GR"/>
              </w:rPr>
              <w:t>Herman</w:t>
            </w:r>
            <w:proofErr w:type="spellEnd"/>
            <w:r w:rsidRPr="009C3AC6">
              <w:rPr>
                <w:lang w:val="el-GR"/>
              </w:rPr>
              <w:t>, 1992). Η ασφάλεια περιλαμβάνει την εκτίμηση κινδύνου, τον εξατομικευμένο σχεδιασμό ασφάλειας, τη δυνατότητα ασφαλούς στέγασης, τη νομική προστασία και την πρόσβαση σε οικονομικούς, κοινωνικούς και υγειονομικούς πόρους. Αφορά και τα παιδιά, ακόμη και όταν δεν έχουν υποστεί άμεση σωματική κακοποίηση, καθώς η έκθεση στη βία μεταξύ των γονέων συνιστά από μόνη της τραυματική εμπειρία (</w:t>
            </w:r>
            <w:proofErr w:type="spellStart"/>
            <w:r w:rsidRPr="009C3AC6">
              <w:rPr>
                <w:lang w:val="el-GR"/>
              </w:rPr>
              <w:t>Kitzmann</w:t>
            </w:r>
            <w:proofErr w:type="spellEnd"/>
            <w:r w:rsidRPr="009C3AC6">
              <w:rPr>
                <w:lang w:val="el-GR"/>
              </w:rPr>
              <w:t xml:space="preserve"> </w:t>
            </w:r>
            <w:proofErr w:type="spellStart"/>
            <w:r w:rsidRPr="009C3AC6">
              <w:rPr>
                <w:lang w:val="el-GR"/>
              </w:rPr>
              <w:t>et</w:t>
            </w:r>
            <w:proofErr w:type="spellEnd"/>
            <w:r w:rsidRPr="009C3AC6">
              <w:rPr>
                <w:lang w:val="el-GR"/>
              </w:rPr>
              <w:t xml:space="preserve"> </w:t>
            </w:r>
            <w:proofErr w:type="spellStart"/>
            <w:r w:rsidRPr="009C3AC6">
              <w:rPr>
                <w:lang w:val="el-GR"/>
              </w:rPr>
              <w:t>al</w:t>
            </w:r>
            <w:proofErr w:type="spellEnd"/>
            <w:r w:rsidRPr="009C3AC6">
              <w:rPr>
                <w:lang w:val="el-GR"/>
              </w:rPr>
              <w:t>., 2003). Ιδιαίτερη σημασία έχει η συνέχιση του εξαναγκαστικού ελέγχου μετά τον χωρισμό, καθώς ο δράστης μπορεί να αξιοποιεί την επικοινωνία με τα παιδιά, τις διαδικασίες επιμέλειας και τις δικαστικές διαμάχες για να διατηρήσει τον έλεγχο (</w:t>
            </w:r>
            <w:proofErr w:type="spellStart"/>
            <w:r w:rsidRPr="009C3AC6">
              <w:rPr>
                <w:lang w:val="el-GR"/>
              </w:rPr>
              <w:t>Stark</w:t>
            </w:r>
            <w:proofErr w:type="spellEnd"/>
            <w:r w:rsidRPr="009C3AC6">
              <w:rPr>
                <w:lang w:val="el-GR"/>
              </w:rPr>
              <w:t xml:space="preserve">, 2007·Spearman </w:t>
            </w:r>
            <w:proofErr w:type="spellStart"/>
            <w:r w:rsidRPr="009C3AC6">
              <w:rPr>
                <w:lang w:val="el-GR"/>
              </w:rPr>
              <w:t>et</w:t>
            </w:r>
            <w:proofErr w:type="spellEnd"/>
            <w:r w:rsidRPr="009C3AC6">
              <w:rPr>
                <w:lang w:val="el-GR"/>
              </w:rPr>
              <w:t xml:space="preserve"> </w:t>
            </w:r>
            <w:proofErr w:type="spellStart"/>
            <w:r w:rsidRPr="009C3AC6">
              <w:rPr>
                <w:lang w:val="el-GR"/>
              </w:rPr>
              <w:t>al</w:t>
            </w:r>
            <w:proofErr w:type="spellEnd"/>
            <w:r w:rsidRPr="009C3AC6">
              <w:rPr>
                <w:lang w:val="el-GR"/>
              </w:rPr>
              <w:t xml:space="preserve">., 2024). Η ασφάλεια της μητέρας και η ασφάλεια του παιδιού δεν αποτελούν ανταγωνιστικούς στόχους, αλλά αλληλένδετες προϋποθέσεις για τη διακοπή της </w:t>
            </w:r>
            <w:proofErr w:type="spellStart"/>
            <w:r w:rsidRPr="009C3AC6">
              <w:rPr>
                <w:lang w:val="el-GR"/>
              </w:rPr>
              <w:t>διαγενεακής</w:t>
            </w:r>
            <w:proofErr w:type="spellEnd"/>
            <w:r w:rsidRPr="009C3AC6">
              <w:rPr>
                <w:lang w:val="el-GR"/>
              </w:rPr>
              <w:t xml:space="preserve"> μετάδοσης.</w:t>
            </w:r>
          </w:p>
          <w:p w14:paraId="0EA6BECE" w14:textId="77777777" w:rsidR="000956C9" w:rsidRPr="009C3AC6" w:rsidRDefault="00F56A84">
            <w:pPr>
              <w:rPr>
                <w:lang w:val="el-GR"/>
              </w:rPr>
            </w:pPr>
            <w:r w:rsidRPr="009C3AC6">
              <w:rPr>
                <w:lang w:val="el-GR"/>
              </w:rPr>
              <w:t xml:space="preserve">Όλες οι υπηρεσίες που έρχονται σε επαφή με τις οικογένειες, από τα συμβουλευτικά κέντρα και τους ξενώνες έως τις υπηρεσίες παιδικής προστασίας, την αστυνομία και τα δικαστήρια, χρειάζεται να λειτουργούν με φροντίδα ενήμερη ως προς το τραύμα. Η προσέγγιση αυτή μετατοπίζει το ερώτημα από το «τι δεν πάει καλά με αυτή τη γυναίκα;» στο «τι της έχει συμβεί;», ώστε η </w:t>
            </w:r>
            <w:proofErr w:type="spellStart"/>
            <w:r w:rsidRPr="009C3AC6">
              <w:rPr>
                <w:lang w:val="el-GR"/>
              </w:rPr>
              <w:t>υπερεπαγρύπνηση</w:t>
            </w:r>
            <w:proofErr w:type="spellEnd"/>
            <w:r w:rsidRPr="009C3AC6">
              <w:rPr>
                <w:lang w:val="el-GR"/>
              </w:rPr>
              <w:t xml:space="preserve">, η αμφιθυμία ή η δυσπιστία προς τους θεσμούς να κατανοούνται ως αποκρίσεις σε συνθήκες απειλής και ελέγχου και όχι ως ανεπάρκειες των επιζωσών. Οργανώνεται γύρω από έξι αρχές: σωματική και συναισθηματική ασφάλεια, αξιοπιστία και διαφάνεια, υποστήριξη από ομότιμες, συνεργασία, ενδυνάμωση και δυνατότητα επιλογής, και ανταπόκριση σε πολιτισμικά και </w:t>
            </w:r>
            <w:proofErr w:type="spellStart"/>
            <w:r w:rsidRPr="009C3AC6">
              <w:rPr>
                <w:lang w:val="el-GR"/>
              </w:rPr>
              <w:t>έμφυλα</w:t>
            </w:r>
            <w:proofErr w:type="spellEnd"/>
            <w:r w:rsidRPr="009C3AC6">
              <w:rPr>
                <w:lang w:val="el-GR"/>
              </w:rPr>
              <w:t xml:space="preserve"> ζητήματα (SAMHSA, 2014). Οι αρχές αυτές αντιστρέφουν βασικά στοιχεία της κακοποιητικής εμπειρίας: απέναντι στον φόβο θέτουν την ασφάλεια, απέναντι στην απομόνωση τη σύνδεση και απέναντι στον εξαναγκασμό τη φωνή και την πραγματική δυνατότητα επιλογής (</w:t>
            </w:r>
            <w:proofErr w:type="spellStart"/>
            <w:r w:rsidRPr="009C3AC6">
              <w:rPr>
                <w:lang w:val="el-GR"/>
              </w:rPr>
              <w:t>Wilson</w:t>
            </w:r>
            <w:proofErr w:type="spellEnd"/>
            <w:r w:rsidRPr="009C3AC6">
              <w:rPr>
                <w:lang w:val="el-GR"/>
              </w:rPr>
              <w:t xml:space="preserve"> </w:t>
            </w:r>
            <w:proofErr w:type="spellStart"/>
            <w:r w:rsidRPr="009C3AC6">
              <w:rPr>
                <w:lang w:val="el-GR"/>
              </w:rPr>
              <w:t>et</w:t>
            </w:r>
            <w:proofErr w:type="spellEnd"/>
            <w:r w:rsidRPr="009C3AC6">
              <w:rPr>
                <w:lang w:val="el-GR"/>
              </w:rPr>
              <w:t xml:space="preserve"> </w:t>
            </w:r>
            <w:proofErr w:type="spellStart"/>
            <w:r w:rsidRPr="009C3AC6">
              <w:rPr>
                <w:lang w:val="el-GR"/>
              </w:rPr>
              <w:t>al</w:t>
            </w:r>
            <w:proofErr w:type="spellEnd"/>
            <w:r w:rsidRPr="009C3AC6">
              <w:rPr>
                <w:lang w:val="el-GR"/>
              </w:rPr>
              <w:t>., 2015).</w:t>
            </w:r>
          </w:p>
          <w:p w14:paraId="2DF2A247" w14:textId="4F19FF77" w:rsidR="000956C9" w:rsidRPr="009C3AC6" w:rsidRDefault="00F56A84">
            <w:pPr>
              <w:rPr>
                <w:lang w:val="el-GR"/>
              </w:rPr>
            </w:pPr>
            <w:r w:rsidRPr="009C3AC6">
              <w:rPr>
                <w:lang w:val="el-GR"/>
              </w:rPr>
              <w:t>Καμία μεμονωμένη παρέμβαση δεν μπορεί να αντιμετωπίσει όλους τους μηχανισμούς μετάδοσης. Η ατομική θεραπεία του γονέα είναι σημαντική, αλλά δεν μεταβάλλει αυτομάτως τη σχέση με το παιδί (</w:t>
            </w:r>
            <w:proofErr w:type="spellStart"/>
            <w:r w:rsidRPr="009C3AC6">
              <w:rPr>
                <w:lang w:val="el-GR"/>
              </w:rPr>
              <w:t>Isobel</w:t>
            </w:r>
            <w:proofErr w:type="spellEnd"/>
            <w:r w:rsidRPr="009C3AC6">
              <w:rPr>
                <w:lang w:val="el-GR"/>
              </w:rPr>
              <w:t xml:space="preserve"> </w:t>
            </w:r>
            <w:proofErr w:type="spellStart"/>
            <w:r w:rsidRPr="009C3AC6">
              <w:rPr>
                <w:lang w:val="el-GR"/>
              </w:rPr>
              <w:t>et</w:t>
            </w:r>
            <w:proofErr w:type="spellEnd"/>
            <w:r w:rsidRPr="009C3AC6">
              <w:rPr>
                <w:lang w:val="el-GR"/>
              </w:rPr>
              <w:t xml:space="preserve"> </w:t>
            </w:r>
            <w:proofErr w:type="spellStart"/>
            <w:r w:rsidRPr="009C3AC6">
              <w:rPr>
                <w:lang w:val="el-GR"/>
              </w:rPr>
              <w:t>al</w:t>
            </w:r>
            <w:proofErr w:type="spellEnd"/>
            <w:r w:rsidRPr="009C3AC6">
              <w:rPr>
                <w:lang w:val="el-GR"/>
              </w:rPr>
              <w:t xml:space="preserve">., 2019·Lieberman </w:t>
            </w:r>
            <w:proofErr w:type="spellStart"/>
            <w:r w:rsidRPr="009C3AC6">
              <w:rPr>
                <w:lang w:val="el-GR"/>
              </w:rPr>
              <w:t>et</w:t>
            </w:r>
            <w:proofErr w:type="spellEnd"/>
            <w:r w:rsidRPr="009C3AC6">
              <w:rPr>
                <w:lang w:val="el-GR"/>
              </w:rPr>
              <w:t xml:space="preserve"> </w:t>
            </w:r>
            <w:proofErr w:type="spellStart"/>
            <w:r w:rsidRPr="009C3AC6">
              <w:rPr>
                <w:lang w:val="el-GR"/>
              </w:rPr>
              <w:t>al</w:t>
            </w:r>
            <w:proofErr w:type="spellEnd"/>
            <w:r w:rsidRPr="009C3AC6">
              <w:rPr>
                <w:lang w:val="el-GR"/>
              </w:rPr>
              <w:t>., 2015). Η γονεϊκή εκπαίδευση μπορεί να ενισχύσει τις δεξιότητες φροντίδας, αλλά δεν είναι επαρκής όταν συνεχίζεται η βία ή παραμένει σοβαρό μη επεξεργασμένο τραύμα (World Health Organization, 2023). Η θεραπεία του παιδιού μπορεί να μειώσει τη συμπτωματολογία, ωστόσο τα αποτελέσματά της είναι δύσκολο να διατηρηθούν όταν το οικογενειακό περιβάλλον παραμένει ασταθές ή επικίνδυνο (</w:t>
            </w:r>
            <w:proofErr w:type="spellStart"/>
            <w:r w:rsidRPr="009C3AC6">
              <w:rPr>
                <w:lang w:val="el-GR"/>
              </w:rPr>
              <w:t>Howarth</w:t>
            </w:r>
            <w:proofErr w:type="spellEnd"/>
            <w:r w:rsidRPr="009C3AC6">
              <w:rPr>
                <w:lang w:val="el-GR"/>
              </w:rPr>
              <w:t xml:space="preserve"> </w:t>
            </w:r>
            <w:proofErr w:type="spellStart"/>
            <w:r w:rsidRPr="009C3AC6">
              <w:rPr>
                <w:lang w:val="el-GR"/>
              </w:rPr>
              <w:t>et</w:t>
            </w:r>
            <w:proofErr w:type="spellEnd"/>
            <w:r w:rsidRPr="009C3AC6">
              <w:rPr>
                <w:lang w:val="el-GR"/>
              </w:rPr>
              <w:t xml:space="preserve"> </w:t>
            </w:r>
            <w:proofErr w:type="spellStart"/>
            <w:r w:rsidRPr="009C3AC6">
              <w:rPr>
                <w:lang w:val="el-GR"/>
              </w:rPr>
              <w:t>al</w:t>
            </w:r>
            <w:proofErr w:type="spellEnd"/>
            <w:r w:rsidRPr="009C3AC6">
              <w:rPr>
                <w:lang w:val="el-GR"/>
              </w:rPr>
              <w:t>., 2016). Για τον λόγο αυτό το μοντέλο συνδυάζει τη θεραπεία του γον</w:t>
            </w:r>
            <w:r w:rsidR="005A13CF">
              <w:rPr>
                <w:lang w:val="el-GR"/>
              </w:rPr>
              <w:t>εϊκού</w:t>
            </w:r>
            <w:r w:rsidRPr="009C3AC6">
              <w:rPr>
                <w:lang w:val="el-GR"/>
              </w:rPr>
              <w:t xml:space="preserve"> τραύματος, την άμεση υποστήριξη του παιδιού και τις </w:t>
            </w:r>
            <w:proofErr w:type="spellStart"/>
            <w:r w:rsidRPr="009C3AC6">
              <w:rPr>
                <w:lang w:val="el-GR"/>
              </w:rPr>
              <w:t>σχεσιοκεντρικές</w:t>
            </w:r>
            <w:proofErr w:type="spellEnd"/>
            <w:r w:rsidRPr="009C3AC6">
              <w:rPr>
                <w:lang w:val="el-GR"/>
              </w:rPr>
              <w:t xml:space="preserve"> παρεμβάσεις, με ταυτόχρονη αντιμετώπιση της βίας κατά των </w:t>
            </w:r>
            <w:r w:rsidRPr="009C3AC6">
              <w:rPr>
                <w:lang w:val="el-GR"/>
              </w:rPr>
              <w:lastRenderedPageBreak/>
              <w:t>γυναικών και κατά των παιδιών (</w:t>
            </w:r>
            <w:proofErr w:type="spellStart"/>
            <w:r w:rsidRPr="009C3AC6">
              <w:rPr>
                <w:lang w:val="el-GR"/>
              </w:rPr>
              <w:t>Bacchus</w:t>
            </w:r>
            <w:proofErr w:type="spellEnd"/>
            <w:r w:rsidRPr="009C3AC6">
              <w:rPr>
                <w:lang w:val="el-GR"/>
              </w:rPr>
              <w:t xml:space="preserve"> </w:t>
            </w:r>
            <w:proofErr w:type="spellStart"/>
            <w:r w:rsidRPr="009C3AC6">
              <w:rPr>
                <w:lang w:val="el-GR"/>
              </w:rPr>
              <w:t>et</w:t>
            </w:r>
            <w:proofErr w:type="spellEnd"/>
            <w:r w:rsidRPr="009C3AC6">
              <w:rPr>
                <w:lang w:val="el-GR"/>
              </w:rPr>
              <w:t xml:space="preserve"> </w:t>
            </w:r>
            <w:proofErr w:type="spellStart"/>
            <w:r w:rsidRPr="009C3AC6">
              <w:rPr>
                <w:lang w:val="el-GR"/>
              </w:rPr>
              <w:t>al</w:t>
            </w:r>
            <w:proofErr w:type="spellEnd"/>
            <w:r w:rsidRPr="009C3AC6">
              <w:rPr>
                <w:lang w:val="el-GR"/>
              </w:rPr>
              <w:t>., 2024) και χωρίς μεταφορά της ευθύνης για τις επιπτώσεις της βίας στη μητέρα.</w:t>
            </w:r>
          </w:p>
          <w:p w14:paraId="50485589" w14:textId="388E9BB3" w:rsidR="000956C9" w:rsidRPr="009C3AC6" w:rsidRDefault="00F56A84">
            <w:pPr>
              <w:rPr>
                <w:lang w:val="el-GR"/>
              </w:rPr>
            </w:pPr>
            <w:r w:rsidRPr="009C3AC6">
              <w:rPr>
                <w:lang w:val="el-GR"/>
              </w:rPr>
              <w:t>Η ολοκληρωμένη πρόληψη περιλαμβάνει και τη λογοδοσία και την παρέμβαση προς τους δράστες, στον βαθμό που αυτές συμβάλλουν στην πραγματική παύση της βίας και ενισχύουν την ασφάλεια των επιζωσών και των παιδιών, χωρίς να υποκαθιστούν την προστασία τους (</w:t>
            </w:r>
            <w:proofErr w:type="spellStart"/>
            <w:r w:rsidRPr="009C3AC6">
              <w:rPr>
                <w:lang w:val="el-GR"/>
              </w:rPr>
              <w:t>Kelly</w:t>
            </w:r>
            <w:proofErr w:type="spellEnd"/>
            <w:r w:rsidRPr="009C3AC6">
              <w:rPr>
                <w:lang w:val="el-GR"/>
              </w:rPr>
              <w:t xml:space="preserve"> &amp; </w:t>
            </w:r>
            <w:proofErr w:type="spellStart"/>
            <w:r w:rsidRPr="009C3AC6">
              <w:rPr>
                <w:lang w:val="el-GR"/>
              </w:rPr>
              <w:t>Westmarland</w:t>
            </w:r>
            <w:proofErr w:type="spellEnd"/>
            <w:r w:rsidRPr="009C3AC6">
              <w:rPr>
                <w:lang w:val="el-GR"/>
              </w:rPr>
              <w:t xml:space="preserve">, 2015·Travers </w:t>
            </w:r>
            <w:proofErr w:type="spellStart"/>
            <w:r w:rsidRPr="009C3AC6">
              <w:rPr>
                <w:lang w:val="el-GR"/>
              </w:rPr>
              <w:t>et</w:t>
            </w:r>
            <w:proofErr w:type="spellEnd"/>
            <w:r w:rsidRPr="009C3AC6">
              <w:rPr>
                <w:lang w:val="el-GR"/>
              </w:rPr>
              <w:t xml:space="preserve"> </w:t>
            </w:r>
            <w:proofErr w:type="spellStart"/>
            <w:r w:rsidRPr="009C3AC6">
              <w:rPr>
                <w:lang w:val="el-GR"/>
              </w:rPr>
              <w:t>al</w:t>
            </w:r>
            <w:proofErr w:type="spellEnd"/>
            <w:r w:rsidRPr="009C3AC6">
              <w:rPr>
                <w:lang w:val="el-GR"/>
              </w:rPr>
              <w:t xml:space="preserve">., 2021). Η ασφάλεια από τη βία είναι αναγκαία, αλλά χρειάζεται να ακολουθείται από μακροχρόνια </w:t>
            </w:r>
            <w:proofErr w:type="spellStart"/>
            <w:r w:rsidRPr="009C3AC6">
              <w:rPr>
                <w:lang w:val="el-GR"/>
              </w:rPr>
              <w:t>κοινωνικοψυχολογική</w:t>
            </w:r>
            <w:proofErr w:type="spellEnd"/>
            <w:r w:rsidRPr="009C3AC6">
              <w:rPr>
                <w:lang w:val="el-GR"/>
              </w:rPr>
              <w:t xml:space="preserve"> αποκατάσταση: ασφαλή στέγαση, οικονομική υποστήριξη, επαγγελματική κατάρτιση, νομική συμβουλευτική και ενίσχυση των κοινωνικών δικτύων (World Bank &amp; </w:t>
            </w:r>
            <w:proofErr w:type="spellStart"/>
            <w:r w:rsidRPr="009C3AC6">
              <w:rPr>
                <w:lang w:val="el-GR"/>
              </w:rPr>
              <w:t>Innovations</w:t>
            </w:r>
            <w:proofErr w:type="spellEnd"/>
            <w:r w:rsidRPr="009C3AC6">
              <w:rPr>
                <w:lang w:val="el-GR"/>
              </w:rPr>
              <w:t xml:space="preserve"> for </w:t>
            </w:r>
            <w:proofErr w:type="spellStart"/>
            <w:r w:rsidRPr="009C3AC6">
              <w:rPr>
                <w:lang w:val="el-GR"/>
              </w:rPr>
              <w:t>Poverty</w:t>
            </w:r>
            <w:proofErr w:type="spellEnd"/>
            <w:r w:rsidRPr="009C3AC6">
              <w:rPr>
                <w:lang w:val="el-GR"/>
              </w:rPr>
              <w:t xml:space="preserve"> </w:t>
            </w:r>
            <w:proofErr w:type="spellStart"/>
            <w:r w:rsidRPr="009C3AC6">
              <w:rPr>
                <w:lang w:val="el-GR"/>
              </w:rPr>
              <w:t>Action</w:t>
            </w:r>
            <w:proofErr w:type="spellEnd"/>
            <w:r w:rsidRPr="009C3AC6">
              <w:rPr>
                <w:lang w:val="el-GR"/>
              </w:rPr>
              <w:t>, 2024). Τέλος, το μοντέλο στηρίζεται στην έγκαιρη αναγνώριση από τους επαγγελματίες πρώτης γραμμής, στον διεπιστημονικό συντονισμό των υπηρεσιών και στην καθολική και κοινοτική πρόληψη που μεταβάλλει τα κοινωνικά πρότυπα (</w:t>
            </w:r>
            <w:proofErr w:type="spellStart"/>
            <w:r w:rsidRPr="009C3AC6">
              <w:rPr>
                <w:lang w:val="el-GR"/>
              </w:rPr>
              <w:t>Isobel</w:t>
            </w:r>
            <w:proofErr w:type="spellEnd"/>
            <w:r w:rsidRPr="009C3AC6">
              <w:rPr>
                <w:lang w:val="el-GR"/>
              </w:rPr>
              <w:t xml:space="preserve"> </w:t>
            </w:r>
            <w:proofErr w:type="spellStart"/>
            <w:r w:rsidRPr="009C3AC6">
              <w:rPr>
                <w:lang w:val="el-GR"/>
              </w:rPr>
              <w:t>et</w:t>
            </w:r>
            <w:proofErr w:type="spellEnd"/>
            <w:r w:rsidRPr="009C3AC6">
              <w:rPr>
                <w:lang w:val="el-GR"/>
              </w:rPr>
              <w:t xml:space="preserve"> </w:t>
            </w:r>
            <w:proofErr w:type="spellStart"/>
            <w:r w:rsidRPr="009C3AC6">
              <w:rPr>
                <w:lang w:val="el-GR"/>
              </w:rPr>
              <w:t>al</w:t>
            </w:r>
            <w:proofErr w:type="spellEnd"/>
            <w:r w:rsidRPr="009C3AC6">
              <w:rPr>
                <w:lang w:val="el-GR"/>
              </w:rPr>
              <w:t>., 2019).</w:t>
            </w:r>
          </w:p>
          <w:p w14:paraId="02063726" w14:textId="77777777" w:rsidR="000956C9" w:rsidRDefault="00F56A84">
            <w:pPr>
              <w:rPr>
                <w:lang w:val="el-GR"/>
              </w:rPr>
            </w:pPr>
            <w:r w:rsidRPr="009C3AC6">
              <w:rPr>
                <w:lang w:val="el-GR"/>
              </w:rPr>
              <w:t xml:space="preserve">Η πρόληψη της </w:t>
            </w:r>
            <w:proofErr w:type="spellStart"/>
            <w:r w:rsidRPr="009C3AC6">
              <w:rPr>
                <w:lang w:val="el-GR"/>
              </w:rPr>
              <w:t>διαγενεακής</w:t>
            </w:r>
            <w:proofErr w:type="spellEnd"/>
            <w:r w:rsidRPr="009C3AC6">
              <w:rPr>
                <w:lang w:val="el-GR"/>
              </w:rPr>
              <w:t xml:space="preserve"> μετάδοσης δεν πρέπει, επομένως, να νοείται ως μία μεμονωμένη θεραπεία ή ως αποκλειστική ευθύνη των μητέρων. Αποτελεί μια συνεχή διαδικασία αποκατάστασης της ασφάλειας, της αυτενέργειας, της εμπιστοσύνης και της συναισθηματικής σύνδεσης μέσα και γύρω από την οικογένεια. Η ουσιαστική διακοπή της μετάδοσης καθίσταται περισσότερο πιθανή όταν ο γονέας υποστηρίζεται να επεξεργαστεί το τραύμα του, το παιδί αποκτά πρόσβαση σε ασφαλείς και διορθωτικές σχεσιακές εμπειρίες και οι κοινωνικές και θεσμικές δομές δημιουργούν τις συνθήκες μέσα στις οποίες η αλλαγή αυτή μπορεί να διατηρηθεί</w:t>
            </w:r>
            <w:r>
              <w:rPr>
                <w:lang w:val="el-GR"/>
              </w:rPr>
              <w:t>.</w:t>
            </w:r>
          </w:p>
        </w:tc>
      </w:tr>
    </w:tbl>
    <w:p w14:paraId="623ABC16" w14:textId="77777777" w:rsidR="00E63D5B" w:rsidRPr="000B7AA5" w:rsidRDefault="001F059D">
      <w:pPr>
        <w:pStyle w:val="1"/>
        <w:pageBreakBefore/>
        <w:rPr>
          <w:lang w:val="el-GR"/>
        </w:rPr>
      </w:pPr>
      <w:bookmarkStart w:id="31" w:name="_Toc242134436"/>
      <w:r w:rsidRPr="000B7AA5">
        <w:rPr>
          <w:lang w:val="el-GR"/>
        </w:rPr>
        <w:lastRenderedPageBreak/>
        <w:t>5. Μεθοδολογία της Έρευνας</w:t>
      </w:r>
      <w:bookmarkEnd w:id="31"/>
    </w:p>
    <w:p w14:paraId="024E90A1" w14:textId="77777777" w:rsidR="00E63D5B" w:rsidRPr="000B7AA5" w:rsidRDefault="001F059D">
      <w:pPr>
        <w:pStyle w:val="20"/>
        <w:rPr>
          <w:lang w:val="el-GR"/>
        </w:rPr>
      </w:pPr>
      <w:bookmarkStart w:id="32" w:name="_Toc242134437"/>
      <w:r w:rsidRPr="000B7AA5">
        <w:rPr>
          <w:lang w:val="el-GR"/>
        </w:rPr>
        <w:t>5.1 Ο μεικτός σχεδιασμός</w:t>
      </w:r>
      <w:bookmarkEnd w:id="32"/>
    </w:p>
    <w:p w14:paraId="1B0F34E7" w14:textId="77777777" w:rsidR="00E63D5B" w:rsidRPr="00132066" w:rsidRDefault="001F059D">
      <w:pPr>
        <w:rPr>
          <w:lang w:val="el-GR"/>
        </w:rPr>
      </w:pPr>
      <w:r>
        <w:rPr>
          <w:lang w:val="el-GR"/>
        </w:rPr>
        <w:t>Η ενδοοικογενειακή βία περιλαμβάνει τόσο μετρήσιμες ψυχολογικές, κοινωνικές και αναπτυξιακές συνέπειες όσο και υποκειμενικές εμπειρίες και νοήματα που δεν αποτυπώνονται πλήρως με μία μόνο μέθοδο. Για τον λόγο αυτό η έρευνα υιοθέτησε μεικτή μεθοδολογία (</w:t>
      </w:r>
      <w:r>
        <w:t>mixed</w:t>
      </w:r>
      <w:r>
        <w:rPr>
          <w:lang w:val="el-GR"/>
        </w:rPr>
        <w:t xml:space="preserve"> </w:t>
      </w:r>
      <w:r>
        <w:t>methods</w:t>
      </w:r>
      <w:r>
        <w:rPr>
          <w:lang w:val="el-GR"/>
        </w:rPr>
        <w:t>) και συγκεκριμένα συγκλίνουσα παράλληλη σχεδίαση: τα ποσοτικά και τα ποιοτικά δεδομένα συλλέχθηκαν και αναλύθηκαν παράλληλα, με ίση βαρύτητα και ανεξάρτητα μεταξύ τους, και στη συνέχεια συγκρίθηκαν και συντέθηκαν ώστε να αναδειχθούν τα σημεία σύγκλισης (όπου τα δύο σκέλη επιβεβαιώνουν το ένα το άλλο), συμπληρωματικότητας (όπου το ένα φωτίζει πτυχές που το άλλο δεν φτάνει) και απόκλισης (όπου τα δεδομένα απαιτούν προσεκτικότερη ερμηνεία). Η λογική αυτή της «</w:t>
      </w:r>
      <w:proofErr w:type="spellStart"/>
      <w:r>
        <w:rPr>
          <w:lang w:val="el-GR"/>
        </w:rPr>
        <w:t>τριγωνοποίησης</w:t>
      </w:r>
      <w:proofErr w:type="spellEnd"/>
      <w:r>
        <w:rPr>
          <w:lang w:val="el-GR"/>
        </w:rPr>
        <w:t>» ενισχύει την εγκυρότητα των συμπερασμάτων (</w:t>
      </w:r>
      <w:r>
        <w:t>Creswell</w:t>
      </w:r>
      <w:r>
        <w:rPr>
          <w:lang w:val="el-GR"/>
        </w:rPr>
        <w:t xml:space="preserve"> &amp; </w:t>
      </w:r>
      <w:r>
        <w:t>Plano</w:t>
      </w:r>
      <w:r>
        <w:rPr>
          <w:lang w:val="el-GR"/>
        </w:rPr>
        <w:t xml:space="preserve"> </w:t>
      </w:r>
      <w:r>
        <w:t>Clark</w:t>
      </w:r>
      <w:r>
        <w:rPr>
          <w:lang w:val="el-GR"/>
        </w:rPr>
        <w:t>, 2018).</w:t>
      </w:r>
    </w:p>
    <w:p w14:paraId="316D2F2E" w14:textId="77777777" w:rsidR="00E63D5B" w:rsidRPr="00132066" w:rsidRDefault="001F059D">
      <w:pPr>
        <w:rPr>
          <w:lang w:val="el-GR"/>
        </w:rPr>
      </w:pPr>
      <w:r>
        <w:rPr>
          <w:lang w:val="el-GR"/>
        </w:rPr>
        <w:t xml:space="preserve">Το ποσοτικό σκέλος στόχευσε στην αποτύπωση της έκτασης του τραύματος και των συσχετίσεων μεταξύ βασικών ψυχολογικών, κοινωνικών και αναπτυξιακών μεταβλητών σε μεγάλο δείγμα γυναικών και στα παιδιά τους. Το ποιοτικό σκέλος στόχευσε στην εις βάθος κατανόηση της βιωμένης εμπειρίας: πώς οι γυναίκες </w:t>
      </w:r>
      <w:proofErr w:type="spellStart"/>
      <w:r>
        <w:rPr>
          <w:lang w:val="el-GR"/>
        </w:rPr>
        <w:t>νοηματοδοτούν</w:t>
      </w:r>
      <w:proofErr w:type="spellEnd"/>
      <w:r>
        <w:rPr>
          <w:lang w:val="el-GR"/>
        </w:rPr>
        <w:t xml:space="preserve"> τη βία, τις συνέπειές της, τη μητρότητα, την επαφή με τις υπηρεσίες και την πορεία της ανάκαμψης. Τα δύο δείγματα ήταν διακριτά (οι γυναίκες των συνεντεύξεων δεν ήταν απαραίτητα οι ίδιες με εκείνες των ερωτηματολογίων).</w:t>
      </w:r>
    </w:p>
    <w:p w14:paraId="44B7B71A" w14:textId="77777777" w:rsidR="00E63D5B" w:rsidRPr="00132066" w:rsidRDefault="001F059D">
      <w:pPr>
        <w:pStyle w:val="20"/>
        <w:rPr>
          <w:lang w:val="el-GR"/>
        </w:rPr>
      </w:pPr>
      <w:bookmarkStart w:id="33" w:name="_Toc242134438"/>
      <w:r>
        <w:rPr>
          <w:lang w:val="el-GR"/>
        </w:rPr>
        <w:t>5.2 Η ποσοτική έρευνα</w:t>
      </w:r>
      <w:bookmarkEnd w:id="33"/>
    </w:p>
    <w:p w14:paraId="56F82D8C" w14:textId="77777777" w:rsidR="00E63D5B" w:rsidRPr="00132066" w:rsidRDefault="001F059D">
      <w:pPr>
        <w:pStyle w:val="3"/>
        <w:rPr>
          <w:lang w:val="el-GR"/>
        </w:rPr>
      </w:pPr>
      <w:r>
        <w:rPr>
          <w:lang w:val="el-GR"/>
        </w:rPr>
        <w:t>Σχεδιασμός</w:t>
      </w:r>
    </w:p>
    <w:p w14:paraId="09F82A2E" w14:textId="77777777" w:rsidR="00E63D5B" w:rsidRPr="00132066" w:rsidRDefault="001F059D">
      <w:pPr>
        <w:rPr>
          <w:lang w:val="el-GR"/>
        </w:rPr>
      </w:pPr>
      <w:r>
        <w:rPr>
          <w:lang w:val="el-GR"/>
        </w:rPr>
        <w:t>Το ποσοτικό σκέλος ακολούθησε συγχρονικό (</w:t>
      </w:r>
      <w:r>
        <w:t>cross</w:t>
      </w:r>
      <w:r>
        <w:rPr>
          <w:lang w:val="el-GR"/>
        </w:rPr>
        <w:t>-</w:t>
      </w:r>
      <w:r>
        <w:t>sectional</w:t>
      </w:r>
      <w:r>
        <w:rPr>
          <w:lang w:val="el-GR"/>
        </w:rPr>
        <w:t xml:space="preserve">) σχεδιασμό: τα δεδομένα συλλέχθηκαν σε μία χρονική στιγμή μέσω δομημένου ερωτηματολογίου. Η έρευνα είχε </w:t>
      </w:r>
      <w:proofErr w:type="spellStart"/>
      <w:r>
        <w:rPr>
          <w:lang w:val="el-GR"/>
        </w:rPr>
        <w:t>συναφειακό</w:t>
      </w:r>
      <w:proofErr w:type="spellEnd"/>
      <w:r>
        <w:rPr>
          <w:lang w:val="el-GR"/>
        </w:rPr>
        <w:t xml:space="preserve"> χαρακτήρα, δηλαδή διερεύνησε σχέσεις μεταξύ μεταβλητών χωρίς να μπορεί να τεκμηριώσει αιτιώδεις συνδέσεις. Ορισμένα εργαλεία, ωστόσο, περιλάμβαναν αναδρομικές αναφορές σε προγενέστερες εμπειρίες (τραυματικές εμπειρίες πριν από τα 18, γονικός δεσμός στην παιδική ηλικία), επιτρέποντας τη σύνδεση του παρελθόντος με την τρέχουσα ψυχοκοινωνική λειτουργικότητα.</w:t>
      </w:r>
    </w:p>
    <w:p w14:paraId="1076E3C8" w14:textId="77777777" w:rsidR="00E63D5B" w:rsidRPr="00132066" w:rsidRDefault="001F059D">
      <w:pPr>
        <w:pStyle w:val="3"/>
        <w:rPr>
          <w:lang w:val="el-GR"/>
        </w:rPr>
      </w:pPr>
      <w:r>
        <w:rPr>
          <w:lang w:val="el-GR"/>
        </w:rPr>
        <w:t>Δείγμα και κριτήρια συμμετοχής</w:t>
      </w:r>
    </w:p>
    <w:p w14:paraId="3C0D248E" w14:textId="77777777" w:rsidR="00E63D5B" w:rsidRPr="00132066" w:rsidRDefault="001F059D">
      <w:pPr>
        <w:rPr>
          <w:lang w:val="el-GR"/>
        </w:rPr>
      </w:pPr>
      <w:r>
        <w:rPr>
          <w:lang w:val="el-GR"/>
        </w:rPr>
        <w:t xml:space="preserve">Η δειγματοληψία ήταν σκόπιμη: συμμετείχαν γυναίκες που είχαν απευθυνθεί σε Συμβουλευτικά Κέντρα, φιλοξενούνταν σε Ξενώνες Φιλοξενίας ή υποστηρίζονταν από άλλες δομές στήριξης σε πανελλαδικό επίπεδο. Κριτήρια συμμετοχής για τις γυναίκες ήταν: ηλικία άνω των 18 ετών, επαφή με κάποια από τις παραπάνω δομές, επαρκής γνώση της ελληνικής γλώσσας και συναίνεση. Για τα παιδιά: ηλικία 11 έως 17 ετών, συναίνεση της μητέρας, γνώση της ελληνικής και επιθυμία συμμετοχής. Τα ερωτηματολόγια των παιδιών επιλέχθηκαν με γνώμονα την αποφυγή </w:t>
      </w:r>
      <w:proofErr w:type="spellStart"/>
      <w:r>
        <w:rPr>
          <w:lang w:val="el-GR"/>
        </w:rPr>
        <w:t>επανατραυματισμού</w:t>
      </w:r>
      <w:proofErr w:type="spellEnd"/>
      <w:r>
        <w:rPr>
          <w:lang w:val="el-GR"/>
        </w:rPr>
        <w:t>.</w:t>
      </w:r>
    </w:p>
    <w:p w14:paraId="5F403E91" w14:textId="77777777" w:rsidR="00E63D5B" w:rsidRPr="00132066" w:rsidRDefault="001F059D">
      <w:pPr>
        <w:rPr>
          <w:lang w:val="el-GR"/>
        </w:rPr>
      </w:pPr>
      <w:r>
        <w:rPr>
          <w:lang w:val="el-GR"/>
        </w:rPr>
        <w:t>Το τελικό δείγμα περιλάμβανε 221 γυναίκες. Οι μητέρες παρείχαν επιπλέον πληροφορίες (</w:t>
      </w:r>
      <w:proofErr w:type="spellStart"/>
      <w:r>
        <w:rPr>
          <w:lang w:val="el-GR"/>
        </w:rPr>
        <w:t>ετεροαναφορά</w:t>
      </w:r>
      <w:proofErr w:type="spellEnd"/>
      <w:r>
        <w:rPr>
          <w:lang w:val="el-GR"/>
        </w:rPr>
        <w:t>) για 137 παιδιά τους, ενώ 25 έφηβοι και έφηβες 11–17 ετών συμπλήρωσαν δικά τους ερωτηματολόγια. Το πλήρες προφίλ του δείγματος παρουσιάζεται στην ενότητα 6.1.</w:t>
      </w:r>
    </w:p>
    <w:p w14:paraId="3EAD187E" w14:textId="77777777" w:rsidR="00E63D5B" w:rsidRPr="00132066" w:rsidRDefault="001F059D">
      <w:pPr>
        <w:pStyle w:val="3"/>
        <w:rPr>
          <w:lang w:val="el-GR"/>
        </w:rPr>
      </w:pPr>
      <w:r>
        <w:rPr>
          <w:lang w:val="el-GR"/>
        </w:rPr>
        <w:lastRenderedPageBreak/>
        <w:t>Εργαλεία</w:t>
      </w:r>
    </w:p>
    <w:p w14:paraId="11916F1F" w14:textId="77777777" w:rsidR="00E63D5B" w:rsidRPr="00132066" w:rsidRDefault="001F059D">
      <w:pPr>
        <w:rPr>
          <w:lang w:val="el-GR"/>
        </w:rPr>
      </w:pPr>
      <w:r>
        <w:rPr>
          <w:lang w:val="el-GR"/>
        </w:rPr>
        <w:t>Το ερωτηματολόγιο των γυναικών συγκροτήθηκε από διεθνώς αναγνωρισμένες κλίμακες με ελληνικές προσαρμογές και τεκμηριωμένες ψυχομετρικές ιδιότητες, οργανωμένες σε τρεις άξονες: (α) την τραυματική εμπειρία (</w:t>
      </w:r>
      <w:proofErr w:type="spellStart"/>
      <w:r>
        <w:rPr>
          <w:lang w:val="el-GR"/>
        </w:rPr>
        <w:t>μετατραυματικά</w:t>
      </w:r>
      <w:proofErr w:type="spellEnd"/>
      <w:r>
        <w:rPr>
          <w:lang w:val="el-GR"/>
        </w:rPr>
        <w:t xml:space="preserve"> συμπτώματα, πρώιμο τραύμα, </w:t>
      </w:r>
      <w:proofErr w:type="spellStart"/>
      <w:r>
        <w:rPr>
          <w:lang w:val="el-GR"/>
        </w:rPr>
        <w:t>μετατραυματική</w:t>
      </w:r>
      <w:proofErr w:type="spellEnd"/>
      <w:r>
        <w:rPr>
          <w:lang w:val="el-GR"/>
        </w:rPr>
        <w:t xml:space="preserve"> ανάπτυξη), (β) την τρέχουσα ψυχική υγεία και ποιότητα ζωής (κατάθλιψη, στρες, ποιότητα ζωής, ανθεκτικότητα) και (γ) τις οικογενειακές σχέσεις (γονικός δεσμός με τους δικούς τους γονείς, δικές τους γονικές πρακτικές, έκθεση σε βία). Για τα παιδιά μικρότερης ηλικίας οι μητέρες συμπλήρωναν κλίμακες </w:t>
      </w:r>
      <w:proofErr w:type="spellStart"/>
      <w:r>
        <w:rPr>
          <w:lang w:val="el-GR"/>
        </w:rPr>
        <w:t>ετεροαναφοράς</w:t>
      </w:r>
      <w:proofErr w:type="spellEnd"/>
      <w:r>
        <w:rPr>
          <w:lang w:val="el-GR"/>
        </w:rPr>
        <w:t>. Οι έφηβοι/ες συμπλήρωναν δικές τους. Για τις κλίμακες με πνευματικά δικαιώματα (</w:t>
      </w:r>
      <w:r>
        <w:t>PSS</w:t>
      </w:r>
      <w:r>
        <w:rPr>
          <w:lang w:val="el-GR"/>
        </w:rPr>
        <w:t xml:space="preserve">-10, </w:t>
      </w:r>
      <w:r>
        <w:t>ETI</w:t>
      </w:r>
      <w:r>
        <w:rPr>
          <w:lang w:val="el-GR"/>
        </w:rPr>
        <w:t xml:space="preserve">, </w:t>
      </w:r>
      <w:r>
        <w:t>BRS</w:t>
      </w:r>
      <w:r>
        <w:rPr>
          <w:lang w:val="el-GR"/>
        </w:rPr>
        <w:t xml:space="preserve">, </w:t>
      </w:r>
      <w:r>
        <w:t>PBQ</w:t>
      </w:r>
      <w:r>
        <w:rPr>
          <w:lang w:val="el-GR"/>
        </w:rPr>
        <w:t>) εξασφαλίστηκαν οι σχετικές άδειες χρήσης.</w:t>
      </w:r>
    </w:p>
    <w:p w14:paraId="1360A778" w14:textId="720F915B" w:rsidR="00E63D5B" w:rsidRPr="00132066" w:rsidRDefault="001F059D">
      <w:pPr>
        <w:keepNext/>
        <w:spacing w:after="60"/>
        <w:jc w:val="left"/>
        <w:rPr>
          <w:lang w:val="el-GR"/>
        </w:rPr>
      </w:pPr>
      <w:r>
        <w:rPr>
          <w:b/>
          <w:bCs/>
          <w:color w:val="1D2B44"/>
          <w:sz w:val="20"/>
          <w:szCs w:val="20"/>
          <w:lang w:val="el-GR"/>
        </w:rPr>
        <w:t xml:space="preserve">Πίνακας </w:t>
      </w:r>
      <w:r w:rsidR="00CC29AE">
        <w:rPr>
          <w:b/>
          <w:bCs/>
          <w:color w:val="1D2B44"/>
          <w:sz w:val="20"/>
          <w:szCs w:val="20"/>
          <w:lang w:val="el-GR"/>
        </w:rPr>
        <w:t>3</w:t>
      </w:r>
      <w:r>
        <w:rPr>
          <w:b/>
          <w:bCs/>
          <w:color w:val="1D2B44"/>
          <w:sz w:val="20"/>
          <w:szCs w:val="20"/>
          <w:lang w:val="el-GR"/>
        </w:rPr>
        <w:t xml:space="preserve">. </w:t>
      </w:r>
      <w:r>
        <w:rPr>
          <w:i/>
          <w:iCs/>
          <w:color w:val="1D2B44"/>
          <w:sz w:val="20"/>
          <w:szCs w:val="20"/>
          <w:lang w:val="el-GR"/>
        </w:rPr>
        <w:t>Τα εργαλεία της ποσοτικής έρευνας και τι μετρά το καθένα</w:t>
      </w:r>
    </w:p>
    <w:tbl>
      <w:tblPr>
        <w:tblStyle w:val="aff6"/>
        <w:tblW w:w="9072" w:type="dxa"/>
        <w:jc w:val="center"/>
        <w:tblLayout w:type="fixed"/>
        <w:tblLook w:val="0400" w:firstRow="0" w:lastRow="0" w:firstColumn="0" w:lastColumn="0" w:noHBand="0" w:noVBand="1"/>
      </w:tblPr>
      <w:tblGrid>
        <w:gridCol w:w="3024"/>
        <w:gridCol w:w="3024"/>
        <w:gridCol w:w="3024"/>
      </w:tblGrid>
      <w:tr w:rsidR="00E63D5B" w14:paraId="6BA99AF7" w14:textId="77777777">
        <w:trPr>
          <w:cantSplit/>
          <w:tblHeader/>
          <w:jc w:val="center"/>
        </w:trPr>
        <w:tc>
          <w:tcPr>
            <w:tcW w:w="3024" w:type="dxa"/>
            <w:tcBorders>
              <w:top w:val="single" w:sz="4" w:space="0" w:color="BFBFBF"/>
              <w:left w:val="single" w:sz="4" w:space="0" w:color="BFBFBF"/>
              <w:bottom w:val="single" w:sz="4" w:space="0" w:color="BFBFBF"/>
              <w:right w:val="single" w:sz="4" w:space="0" w:color="BFBFBF"/>
            </w:tcBorders>
            <w:shd w:val="clear" w:color="auto" w:fill="4A6FA5"/>
          </w:tcPr>
          <w:p w14:paraId="7E056AB3" w14:textId="77777777" w:rsidR="00E63D5B" w:rsidRDefault="001F059D">
            <w:pPr>
              <w:spacing w:after="40" w:line="240" w:lineRule="auto"/>
              <w:jc w:val="left"/>
            </w:pPr>
            <w:proofErr w:type="spellStart"/>
            <w:r>
              <w:rPr>
                <w:b/>
                <w:bCs/>
                <w:color w:val="FFFFFF"/>
                <w:sz w:val="19"/>
                <w:szCs w:val="19"/>
              </w:rPr>
              <w:t>Εργ</w:t>
            </w:r>
            <w:proofErr w:type="spellEnd"/>
            <w:r>
              <w:rPr>
                <w:b/>
                <w:bCs/>
                <w:color w:val="FFFFFF"/>
                <w:sz w:val="19"/>
                <w:szCs w:val="19"/>
              </w:rPr>
              <w:t>αλείο</w:t>
            </w:r>
          </w:p>
        </w:tc>
        <w:tc>
          <w:tcPr>
            <w:tcW w:w="3024" w:type="dxa"/>
            <w:tcBorders>
              <w:top w:val="single" w:sz="4" w:space="0" w:color="BFBFBF"/>
              <w:left w:val="single" w:sz="4" w:space="0" w:color="BFBFBF"/>
              <w:bottom w:val="single" w:sz="4" w:space="0" w:color="BFBFBF"/>
              <w:right w:val="single" w:sz="4" w:space="0" w:color="BFBFBF"/>
            </w:tcBorders>
            <w:shd w:val="clear" w:color="auto" w:fill="4A6FA5"/>
          </w:tcPr>
          <w:p w14:paraId="30DB5980" w14:textId="77777777" w:rsidR="00E63D5B" w:rsidRPr="00132066" w:rsidRDefault="001F059D">
            <w:pPr>
              <w:spacing w:after="40" w:line="240" w:lineRule="auto"/>
              <w:jc w:val="left"/>
              <w:rPr>
                <w:lang w:val="el-GR"/>
              </w:rPr>
            </w:pPr>
            <w:r>
              <w:rPr>
                <w:b/>
                <w:bCs/>
                <w:color w:val="FFFFFF"/>
                <w:sz w:val="19"/>
                <w:szCs w:val="19"/>
                <w:lang w:val="el-GR"/>
              </w:rPr>
              <w:t>Τι μετρά (με απλά λόγια)</w:t>
            </w:r>
          </w:p>
        </w:tc>
        <w:tc>
          <w:tcPr>
            <w:tcW w:w="3024" w:type="dxa"/>
            <w:tcBorders>
              <w:top w:val="single" w:sz="4" w:space="0" w:color="BFBFBF"/>
              <w:left w:val="single" w:sz="4" w:space="0" w:color="BFBFBF"/>
              <w:bottom w:val="single" w:sz="4" w:space="0" w:color="BFBFBF"/>
              <w:right w:val="single" w:sz="4" w:space="0" w:color="BFBFBF"/>
            </w:tcBorders>
            <w:shd w:val="clear" w:color="auto" w:fill="4A6FA5"/>
          </w:tcPr>
          <w:p w14:paraId="6A0562BB" w14:textId="77777777" w:rsidR="00E63D5B" w:rsidRDefault="001F059D">
            <w:pPr>
              <w:spacing w:after="40" w:line="240" w:lineRule="auto"/>
              <w:jc w:val="left"/>
            </w:pPr>
            <w:proofErr w:type="spellStart"/>
            <w:r>
              <w:rPr>
                <w:b/>
                <w:bCs/>
                <w:color w:val="FFFFFF"/>
                <w:sz w:val="19"/>
                <w:szCs w:val="19"/>
              </w:rPr>
              <w:t>Ποιος</w:t>
            </w:r>
            <w:proofErr w:type="spellEnd"/>
            <w:r>
              <w:rPr>
                <w:b/>
                <w:bCs/>
                <w:color w:val="FFFFFF"/>
                <w:sz w:val="19"/>
                <w:szCs w:val="19"/>
                <w:lang w:val="el-GR"/>
              </w:rPr>
              <w:t>/α</w:t>
            </w:r>
            <w:r>
              <w:rPr>
                <w:b/>
                <w:bCs/>
                <w:color w:val="FFFFFF"/>
                <w:sz w:val="19"/>
                <w:szCs w:val="19"/>
              </w:rPr>
              <w:t xml:space="preserve"> </w:t>
            </w:r>
            <w:proofErr w:type="spellStart"/>
            <w:r>
              <w:rPr>
                <w:b/>
                <w:bCs/>
                <w:color w:val="FFFFFF"/>
                <w:sz w:val="19"/>
                <w:szCs w:val="19"/>
              </w:rPr>
              <w:t>το</w:t>
            </w:r>
            <w:proofErr w:type="spellEnd"/>
            <w:r>
              <w:rPr>
                <w:b/>
                <w:bCs/>
                <w:color w:val="FFFFFF"/>
                <w:sz w:val="19"/>
                <w:szCs w:val="19"/>
              </w:rPr>
              <w:t xml:space="preserve"> </w:t>
            </w:r>
            <w:proofErr w:type="spellStart"/>
            <w:r>
              <w:rPr>
                <w:b/>
                <w:bCs/>
                <w:color w:val="FFFFFF"/>
                <w:sz w:val="19"/>
                <w:szCs w:val="19"/>
              </w:rPr>
              <w:t>συμ</w:t>
            </w:r>
            <w:proofErr w:type="spellEnd"/>
            <w:r>
              <w:rPr>
                <w:b/>
                <w:bCs/>
                <w:color w:val="FFFFFF"/>
                <w:sz w:val="19"/>
                <w:szCs w:val="19"/>
              </w:rPr>
              <w:t>πλήρωσε</w:t>
            </w:r>
          </w:p>
        </w:tc>
      </w:tr>
      <w:tr w:rsidR="00E63D5B" w14:paraId="480A7DB4"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tcPr>
          <w:p w14:paraId="64AAD94F" w14:textId="77777777" w:rsidR="00E63D5B" w:rsidRDefault="001F059D">
            <w:pPr>
              <w:spacing w:after="40" w:line="240" w:lineRule="auto"/>
              <w:jc w:val="left"/>
            </w:pPr>
            <w:r>
              <w:rPr>
                <w:sz w:val="19"/>
                <w:szCs w:val="19"/>
              </w:rPr>
              <w:t xml:space="preserve">E-HITS (Extended Hurt, Insult, Threaten, </w:t>
            </w:r>
            <w:proofErr w:type="spellStart"/>
            <w:r>
              <w:rPr>
                <w:sz w:val="19"/>
                <w:szCs w:val="19"/>
              </w:rPr>
              <w:t>Scream·Iverson</w:t>
            </w:r>
            <w:proofErr w:type="spellEnd"/>
            <w:r>
              <w:rPr>
                <w:sz w:val="19"/>
                <w:szCs w:val="19"/>
              </w:rPr>
              <w:t xml:space="preserve"> et al., 2015)</w:t>
            </w:r>
          </w:p>
        </w:tc>
        <w:tc>
          <w:tcPr>
            <w:tcW w:w="3024" w:type="dxa"/>
            <w:tcBorders>
              <w:top w:val="single" w:sz="4" w:space="0" w:color="BFBFBF"/>
              <w:left w:val="single" w:sz="4" w:space="0" w:color="BFBFBF"/>
              <w:bottom w:val="single" w:sz="4" w:space="0" w:color="BFBFBF"/>
              <w:right w:val="single" w:sz="4" w:space="0" w:color="BFBFBF"/>
            </w:tcBorders>
          </w:tcPr>
          <w:p w14:paraId="095F94FA" w14:textId="77777777" w:rsidR="00E63D5B" w:rsidRDefault="001F059D">
            <w:pPr>
              <w:spacing w:after="40" w:line="240" w:lineRule="auto"/>
              <w:jc w:val="left"/>
            </w:pPr>
            <w:r>
              <w:rPr>
                <w:sz w:val="19"/>
                <w:szCs w:val="19"/>
                <w:lang w:val="el-GR"/>
              </w:rPr>
              <w:t xml:space="preserve">Την έκθεση σε πέντε μορφές βίας τους τελευταίους 12 μήνες: σωματικός τραυματισμός, προσβολές/υποτίμηση, απειλές, φωνές/βρισιές, σεξουαλικός εξαναγκασμός. </w:t>
            </w:r>
            <w:r>
              <w:rPr>
                <w:sz w:val="19"/>
                <w:szCs w:val="19"/>
              </w:rPr>
              <w:t xml:space="preserve">5 </w:t>
            </w:r>
            <w:proofErr w:type="spellStart"/>
            <w:r>
              <w:rPr>
                <w:sz w:val="19"/>
                <w:szCs w:val="19"/>
              </w:rPr>
              <w:t>ερωτήσεις</w:t>
            </w:r>
            <w:proofErr w:type="spellEnd"/>
            <w:r>
              <w:rPr>
                <w:sz w:val="19"/>
                <w:szCs w:val="19"/>
              </w:rPr>
              <w:t>, από «π</w:t>
            </w:r>
            <w:proofErr w:type="spellStart"/>
            <w:r>
              <w:rPr>
                <w:sz w:val="19"/>
                <w:szCs w:val="19"/>
              </w:rPr>
              <w:t>οτέ</w:t>
            </w:r>
            <w:proofErr w:type="spellEnd"/>
            <w:r>
              <w:rPr>
                <w:sz w:val="19"/>
                <w:szCs w:val="19"/>
              </w:rPr>
              <w:t xml:space="preserve">» </w:t>
            </w:r>
            <w:proofErr w:type="spellStart"/>
            <w:r>
              <w:rPr>
                <w:sz w:val="19"/>
                <w:szCs w:val="19"/>
              </w:rPr>
              <w:t>έως</w:t>
            </w:r>
            <w:proofErr w:type="spellEnd"/>
            <w:r>
              <w:rPr>
                <w:sz w:val="19"/>
                <w:szCs w:val="19"/>
              </w:rPr>
              <w:t xml:space="preserve"> «π</w:t>
            </w:r>
            <w:proofErr w:type="spellStart"/>
            <w:r>
              <w:rPr>
                <w:sz w:val="19"/>
                <w:szCs w:val="19"/>
              </w:rPr>
              <w:t>ολύ</w:t>
            </w:r>
            <w:proofErr w:type="spellEnd"/>
            <w:r>
              <w:rPr>
                <w:sz w:val="19"/>
                <w:szCs w:val="19"/>
              </w:rPr>
              <w:t xml:space="preserve"> </w:t>
            </w:r>
            <w:proofErr w:type="spellStart"/>
            <w:r>
              <w:rPr>
                <w:sz w:val="19"/>
                <w:szCs w:val="19"/>
              </w:rPr>
              <w:t>συχνά</w:t>
            </w:r>
            <w:proofErr w:type="spellEnd"/>
            <w:r>
              <w:rPr>
                <w:sz w:val="19"/>
                <w:szCs w:val="19"/>
              </w:rPr>
              <w:t>»</w:t>
            </w:r>
          </w:p>
        </w:tc>
        <w:tc>
          <w:tcPr>
            <w:tcW w:w="3024" w:type="dxa"/>
            <w:tcBorders>
              <w:top w:val="single" w:sz="4" w:space="0" w:color="BFBFBF"/>
              <w:left w:val="single" w:sz="4" w:space="0" w:color="BFBFBF"/>
              <w:bottom w:val="single" w:sz="4" w:space="0" w:color="BFBFBF"/>
              <w:right w:val="single" w:sz="4" w:space="0" w:color="BFBFBF"/>
            </w:tcBorders>
          </w:tcPr>
          <w:p w14:paraId="32E2F62A" w14:textId="77777777" w:rsidR="00E63D5B" w:rsidRDefault="001F059D">
            <w:pPr>
              <w:spacing w:after="40" w:line="240" w:lineRule="auto"/>
              <w:jc w:val="left"/>
            </w:pPr>
            <w:proofErr w:type="spellStart"/>
            <w:r>
              <w:rPr>
                <w:sz w:val="19"/>
                <w:szCs w:val="19"/>
              </w:rPr>
              <w:t>Γυν</w:t>
            </w:r>
            <w:proofErr w:type="spellEnd"/>
            <w:r>
              <w:rPr>
                <w:sz w:val="19"/>
                <w:szCs w:val="19"/>
              </w:rPr>
              <w:t>αίκες</w:t>
            </w:r>
          </w:p>
        </w:tc>
      </w:tr>
      <w:tr w:rsidR="00E63D5B" w14:paraId="160BD28B"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55853110" w14:textId="77777777" w:rsidR="00E63D5B" w:rsidRDefault="001F059D">
            <w:pPr>
              <w:spacing w:after="40" w:line="240" w:lineRule="auto"/>
              <w:jc w:val="left"/>
            </w:pPr>
            <w:r>
              <w:rPr>
                <w:sz w:val="19"/>
                <w:szCs w:val="19"/>
              </w:rPr>
              <w:t>PCL-5 (PTSD Checklist for DSM-5· Weathers et al., 2013·ελληνική π</w:t>
            </w:r>
            <w:proofErr w:type="spellStart"/>
            <w:r>
              <w:rPr>
                <w:sz w:val="19"/>
                <w:szCs w:val="19"/>
              </w:rPr>
              <w:t>ροσ</w:t>
            </w:r>
            <w:proofErr w:type="spellEnd"/>
            <w:r>
              <w:rPr>
                <w:sz w:val="19"/>
                <w:szCs w:val="19"/>
              </w:rPr>
              <w:t>αρμογή Orovou et al., 2021)</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71B8285F" w14:textId="77777777" w:rsidR="00E63D5B" w:rsidRDefault="001F059D">
            <w:pPr>
              <w:spacing w:after="40" w:line="240" w:lineRule="auto"/>
              <w:jc w:val="left"/>
            </w:pPr>
            <w:r>
              <w:rPr>
                <w:sz w:val="19"/>
                <w:szCs w:val="19"/>
                <w:lang w:val="el-GR"/>
              </w:rPr>
              <w:t xml:space="preserve">Τα συμπτώματα </w:t>
            </w:r>
            <w:proofErr w:type="spellStart"/>
            <w:r>
              <w:rPr>
                <w:sz w:val="19"/>
                <w:szCs w:val="19"/>
                <w:lang w:val="el-GR"/>
              </w:rPr>
              <w:t>μετατραυματικού</w:t>
            </w:r>
            <w:proofErr w:type="spellEnd"/>
            <w:r>
              <w:rPr>
                <w:sz w:val="19"/>
                <w:szCs w:val="19"/>
                <w:lang w:val="el-GR"/>
              </w:rPr>
              <w:t xml:space="preserve"> στρες σε τέσσερις ομάδες: επανερχόμενες αναμνήσεις, αποφυγή, αρνητικές σκέψεις και διάθεση, υπερδιέγερση. </w:t>
            </w:r>
            <w:r>
              <w:rPr>
                <w:sz w:val="19"/>
                <w:szCs w:val="19"/>
              </w:rPr>
              <w:t xml:space="preserve">20 </w:t>
            </w:r>
            <w:proofErr w:type="spellStart"/>
            <w:r>
              <w:rPr>
                <w:sz w:val="19"/>
                <w:szCs w:val="19"/>
              </w:rPr>
              <w:t>ερωτήσεις</w:t>
            </w:r>
            <w:proofErr w:type="spellEnd"/>
            <w:r>
              <w:rPr>
                <w:sz w:val="19"/>
                <w:szCs w:val="19"/>
              </w:rPr>
              <w:t>, βα</w:t>
            </w:r>
            <w:proofErr w:type="spellStart"/>
            <w:r>
              <w:rPr>
                <w:sz w:val="19"/>
                <w:szCs w:val="19"/>
              </w:rPr>
              <w:t>θμολογί</w:t>
            </w:r>
            <w:proofErr w:type="spellEnd"/>
            <w:r>
              <w:rPr>
                <w:sz w:val="19"/>
                <w:szCs w:val="19"/>
              </w:rPr>
              <w:t>α 0–80·βα</w:t>
            </w:r>
            <w:proofErr w:type="spellStart"/>
            <w:r>
              <w:rPr>
                <w:sz w:val="19"/>
                <w:szCs w:val="19"/>
              </w:rPr>
              <w:t>θμολογί</w:t>
            </w:r>
            <w:proofErr w:type="spellEnd"/>
            <w:r>
              <w:rPr>
                <w:sz w:val="19"/>
                <w:szCs w:val="19"/>
              </w:rPr>
              <w:t xml:space="preserve">α 33 και </w:t>
            </w:r>
            <w:proofErr w:type="spellStart"/>
            <w:r>
              <w:rPr>
                <w:sz w:val="19"/>
                <w:szCs w:val="19"/>
              </w:rPr>
              <w:t>άνω</w:t>
            </w:r>
            <w:proofErr w:type="spellEnd"/>
            <w:r>
              <w:rPr>
                <w:sz w:val="19"/>
                <w:szCs w:val="19"/>
              </w:rPr>
              <w:t xml:space="preserve"> </w:t>
            </w:r>
            <w:proofErr w:type="spellStart"/>
            <w:r>
              <w:rPr>
                <w:sz w:val="19"/>
                <w:szCs w:val="19"/>
              </w:rPr>
              <w:t>δηλώνει</w:t>
            </w:r>
            <w:proofErr w:type="spellEnd"/>
            <w:r>
              <w:rPr>
                <w:sz w:val="19"/>
                <w:szCs w:val="19"/>
              </w:rPr>
              <w:t xml:space="preserve"> «π</w:t>
            </w:r>
            <w:proofErr w:type="spellStart"/>
            <w:r>
              <w:rPr>
                <w:sz w:val="19"/>
                <w:szCs w:val="19"/>
              </w:rPr>
              <w:t>ιθ</w:t>
            </w:r>
            <w:proofErr w:type="spellEnd"/>
            <w:r>
              <w:rPr>
                <w:sz w:val="19"/>
                <w:szCs w:val="19"/>
              </w:rPr>
              <w:t>ανή ΔΜΤΣ»</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40F1C47D" w14:textId="77777777" w:rsidR="00E63D5B" w:rsidRDefault="001F059D">
            <w:pPr>
              <w:spacing w:after="40" w:line="240" w:lineRule="auto"/>
              <w:jc w:val="left"/>
            </w:pPr>
            <w:proofErr w:type="spellStart"/>
            <w:r>
              <w:rPr>
                <w:sz w:val="19"/>
                <w:szCs w:val="19"/>
              </w:rPr>
              <w:t>Γυν</w:t>
            </w:r>
            <w:proofErr w:type="spellEnd"/>
            <w:r>
              <w:rPr>
                <w:sz w:val="19"/>
                <w:szCs w:val="19"/>
              </w:rPr>
              <w:t>αίκες</w:t>
            </w:r>
          </w:p>
        </w:tc>
      </w:tr>
      <w:tr w:rsidR="00E63D5B" w14:paraId="5BD4ADB4"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tcPr>
          <w:p w14:paraId="5E98DDE2" w14:textId="77777777" w:rsidR="00E63D5B" w:rsidRDefault="001F059D">
            <w:pPr>
              <w:spacing w:after="40" w:line="240" w:lineRule="auto"/>
              <w:jc w:val="left"/>
            </w:pPr>
            <w:r>
              <w:rPr>
                <w:sz w:val="19"/>
                <w:szCs w:val="19"/>
              </w:rPr>
              <w:t xml:space="preserve">PHQ-9 (Patient Health </w:t>
            </w:r>
            <w:proofErr w:type="spellStart"/>
            <w:r>
              <w:rPr>
                <w:sz w:val="19"/>
                <w:szCs w:val="19"/>
              </w:rPr>
              <w:t>Questionnaire·Kroenke</w:t>
            </w:r>
            <w:proofErr w:type="spellEnd"/>
            <w:r>
              <w:rPr>
                <w:sz w:val="19"/>
                <w:szCs w:val="19"/>
              </w:rPr>
              <w:t xml:space="preserve"> et al., 2001·ελληνική π</w:t>
            </w:r>
            <w:proofErr w:type="spellStart"/>
            <w:r>
              <w:rPr>
                <w:sz w:val="19"/>
                <w:szCs w:val="19"/>
              </w:rPr>
              <w:t>ροσ</w:t>
            </w:r>
            <w:proofErr w:type="spellEnd"/>
            <w:r>
              <w:rPr>
                <w:sz w:val="19"/>
                <w:szCs w:val="19"/>
              </w:rPr>
              <w:t xml:space="preserve">αρμογή </w:t>
            </w:r>
            <w:proofErr w:type="spellStart"/>
            <w:r>
              <w:rPr>
                <w:sz w:val="19"/>
                <w:szCs w:val="19"/>
              </w:rPr>
              <w:t>Hyphantis</w:t>
            </w:r>
            <w:proofErr w:type="spellEnd"/>
            <w:r>
              <w:rPr>
                <w:sz w:val="19"/>
                <w:szCs w:val="19"/>
              </w:rPr>
              <w:t xml:space="preserve"> et al., 2011)</w:t>
            </w:r>
          </w:p>
        </w:tc>
        <w:tc>
          <w:tcPr>
            <w:tcW w:w="3024" w:type="dxa"/>
            <w:tcBorders>
              <w:top w:val="single" w:sz="4" w:space="0" w:color="BFBFBF"/>
              <w:left w:val="single" w:sz="4" w:space="0" w:color="BFBFBF"/>
              <w:bottom w:val="single" w:sz="4" w:space="0" w:color="BFBFBF"/>
              <w:right w:val="single" w:sz="4" w:space="0" w:color="BFBFBF"/>
            </w:tcBorders>
          </w:tcPr>
          <w:p w14:paraId="29851A91" w14:textId="51F7E59D" w:rsidR="00E63D5B" w:rsidRPr="00132066" w:rsidRDefault="001F059D">
            <w:pPr>
              <w:spacing w:after="40" w:line="240" w:lineRule="auto"/>
              <w:jc w:val="left"/>
              <w:rPr>
                <w:lang w:val="el-GR"/>
              </w:rPr>
            </w:pPr>
            <w:r>
              <w:rPr>
                <w:sz w:val="19"/>
                <w:szCs w:val="19"/>
                <w:lang w:val="el-GR"/>
              </w:rPr>
              <w:t>Τα καταθλιπτικά συμπτώματα των δύο τελευταίων εβδομάδων. 9 ερωτήσεις, βαθμολογία 0–27·10 και άνω δηλώνει πιθανή κατάθλιψη, με διαβαθμίσεις ήπιας, μέτριας, μέτρια-σοβαρής και σοβαρής</w:t>
            </w:r>
          </w:p>
        </w:tc>
        <w:tc>
          <w:tcPr>
            <w:tcW w:w="3024" w:type="dxa"/>
            <w:tcBorders>
              <w:top w:val="single" w:sz="4" w:space="0" w:color="BFBFBF"/>
              <w:left w:val="single" w:sz="4" w:space="0" w:color="BFBFBF"/>
              <w:bottom w:val="single" w:sz="4" w:space="0" w:color="BFBFBF"/>
              <w:right w:val="single" w:sz="4" w:space="0" w:color="BFBFBF"/>
            </w:tcBorders>
          </w:tcPr>
          <w:p w14:paraId="725902FE" w14:textId="77777777" w:rsidR="00E63D5B" w:rsidRDefault="001F059D">
            <w:pPr>
              <w:spacing w:after="40" w:line="240" w:lineRule="auto"/>
              <w:jc w:val="left"/>
            </w:pPr>
            <w:proofErr w:type="spellStart"/>
            <w:r>
              <w:rPr>
                <w:sz w:val="19"/>
                <w:szCs w:val="19"/>
              </w:rPr>
              <w:t>Γυν</w:t>
            </w:r>
            <w:proofErr w:type="spellEnd"/>
            <w:r>
              <w:rPr>
                <w:sz w:val="19"/>
                <w:szCs w:val="19"/>
              </w:rPr>
              <w:t>αίκες</w:t>
            </w:r>
          </w:p>
        </w:tc>
      </w:tr>
      <w:tr w:rsidR="00E63D5B" w14:paraId="44CDF4CF"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0918ADBB" w14:textId="77777777" w:rsidR="00E63D5B" w:rsidRDefault="001F059D">
            <w:pPr>
              <w:spacing w:after="40" w:line="240" w:lineRule="auto"/>
              <w:jc w:val="left"/>
            </w:pPr>
            <w:r>
              <w:rPr>
                <w:sz w:val="19"/>
                <w:szCs w:val="19"/>
              </w:rPr>
              <w:t>PSS-10 (Perceived Stress Scale· Cohen et al., 1983·ελληνική π</w:t>
            </w:r>
            <w:proofErr w:type="spellStart"/>
            <w:r>
              <w:rPr>
                <w:sz w:val="19"/>
                <w:szCs w:val="19"/>
              </w:rPr>
              <w:t>ροσ</w:t>
            </w:r>
            <w:proofErr w:type="spellEnd"/>
            <w:r>
              <w:rPr>
                <w:sz w:val="19"/>
                <w:szCs w:val="19"/>
              </w:rPr>
              <w:t>αρμογή Andreou et al., 2011)</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12CDA286" w14:textId="77777777" w:rsidR="00E63D5B" w:rsidRDefault="001F059D">
            <w:pPr>
              <w:spacing w:after="40" w:line="240" w:lineRule="auto"/>
              <w:jc w:val="left"/>
            </w:pPr>
            <w:r>
              <w:rPr>
                <w:sz w:val="19"/>
                <w:szCs w:val="19"/>
                <w:lang w:val="el-GR"/>
              </w:rPr>
              <w:t>Το αντιλαμβανόμενο στρες τον τελευταίο μήνα, με δύο διαστάσεις: την αίσθηση αδυναμίας ελέγχου («</w:t>
            </w:r>
            <w:proofErr w:type="spellStart"/>
            <w:r>
              <w:rPr>
                <w:sz w:val="19"/>
                <w:szCs w:val="19"/>
                <w:lang w:val="el-GR"/>
              </w:rPr>
              <w:t>αβοηθητότητα</w:t>
            </w:r>
            <w:proofErr w:type="spellEnd"/>
            <w:r>
              <w:rPr>
                <w:sz w:val="19"/>
                <w:szCs w:val="19"/>
                <w:lang w:val="el-GR"/>
              </w:rPr>
              <w:t xml:space="preserve">») και την αίσθηση ότι δεν μπορεί κανείς να τα βγάλει πέρα («έλλειψη </w:t>
            </w:r>
            <w:proofErr w:type="spellStart"/>
            <w:r>
              <w:rPr>
                <w:sz w:val="19"/>
                <w:szCs w:val="19"/>
                <w:lang w:val="el-GR"/>
              </w:rPr>
              <w:t>αυτοαποτελεσματικότητας</w:t>
            </w:r>
            <w:proofErr w:type="spellEnd"/>
            <w:r>
              <w:rPr>
                <w:sz w:val="19"/>
                <w:szCs w:val="19"/>
                <w:lang w:val="el-GR"/>
              </w:rPr>
              <w:t xml:space="preserve">»). </w:t>
            </w:r>
            <w:r>
              <w:rPr>
                <w:sz w:val="19"/>
                <w:szCs w:val="19"/>
              </w:rPr>
              <w:t xml:space="preserve">10 </w:t>
            </w:r>
            <w:proofErr w:type="spellStart"/>
            <w:r>
              <w:rPr>
                <w:sz w:val="19"/>
                <w:szCs w:val="19"/>
              </w:rPr>
              <w:t>ερωτήσεις</w:t>
            </w:r>
            <w:proofErr w:type="spellEnd"/>
            <w:r>
              <w:rPr>
                <w:sz w:val="19"/>
                <w:szCs w:val="19"/>
              </w:rPr>
              <w:t>, 0–40</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75E09C02" w14:textId="77777777" w:rsidR="00E63D5B" w:rsidRDefault="001F059D">
            <w:pPr>
              <w:spacing w:after="40" w:line="240" w:lineRule="auto"/>
              <w:jc w:val="left"/>
            </w:pPr>
            <w:proofErr w:type="spellStart"/>
            <w:r>
              <w:rPr>
                <w:sz w:val="19"/>
                <w:szCs w:val="19"/>
              </w:rPr>
              <w:t>Γυν</w:t>
            </w:r>
            <w:proofErr w:type="spellEnd"/>
            <w:r>
              <w:rPr>
                <w:sz w:val="19"/>
                <w:szCs w:val="19"/>
              </w:rPr>
              <w:t>αίκες</w:t>
            </w:r>
          </w:p>
        </w:tc>
      </w:tr>
      <w:tr w:rsidR="00E63D5B" w14:paraId="23D605B6"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tcPr>
          <w:p w14:paraId="2C357B3F" w14:textId="77777777" w:rsidR="00E63D5B" w:rsidRDefault="001F059D">
            <w:pPr>
              <w:spacing w:after="40" w:line="240" w:lineRule="auto"/>
              <w:jc w:val="left"/>
            </w:pPr>
            <w:r>
              <w:rPr>
                <w:sz w:val="19"/>
                <w:szCs w:val="19"/>
              </w:rPr>
              <w:t>WHOQOL-BREF (WHO, 1997·ελληνική π</w:t>
            </w:r>
            <w:proofErr w:type="spellStart"/>
            <w:r>
              <w:rPr>
                <w:sz w:val="19"/>
                <w:szCs w:val="19"/>
              </w:rPr>
              <w:t>ροσ</w:t>
            </w:r>
            <w:proofErr w:type="spellEnd"/>
            <w:r>
              <w:rPr>
                <w:sz w:val="19"/>
                <w:szCs w:val="19"/>
              </w:rPr>
              <w:t xml:space="preserve">αρμογή </w:t>
            </w:r>
            <w:proofErr w:type="spellStart"/>
            <w:r>
              <w:rPr>
                <w:sz w:val="19"/>
                <w:szCs w:val="19"/>
              </w:rPr>
              <w:t>Ginieri-Coccossis</w:t>
            </w:r>
            <w:proofErr w:type="spellEnd"/>
            <w:r>
              <w:rPr>
                <w:sz w:val="19"/>
                <w:szCs w:val="19"/>
              </w:rPr>
              <w:t xml:space="preserve"> et al., 2012)</w:t>
            </w:r>
          </w:p>
        </w:tc>
        <w:tc>
          <w:tcPr>
            <w:tcW w:w="3024" w:type="dxa"/>
            <w:tcBorders>
              <w:top w:val="single" w:sz="4" w:space="0" w:color="BFBFBF"/>
              <w:left w:val="single" w:sz="4" w:space="0" w:color="BFBFBF"/>
              <w:bottom w:val="single" w:sz="4" w:space="0" w:color="BFBFBF"/>
              <w:right w:val="single" w:sz="4" w:space="0" w:color="BFBFBF"/>
            </w:tcBorders>
          </w:tcPr>
          <w:p w14:paraId="1AC5F5C2" w14:textId="77777777" w:rsidR="00E63D5B" w:rsidRDefault="001F059D">
            <w:pPr>
              <w:spacing w:after="40" w:line="240" w:lineRule="auto"/>
              <w:jc w:val="left"/>
            </w:pPr>
            <w:r>
              <w:rPr>
                <w:sz w:val="19"/>
                <w:szCs w:val="19"/>
                <w:lang w:val="el-GR"/>
              </w:rPr>
              <w:t xml:space="preserve">Την ποιότητα ζωής σε τέσσερις τομείς (σωματική υγεία, ψυχολογική υγεία, κοινωνικές σχέσεις, περιβάλλον) και δύο γενικές ερωτήσεις (συνολική ποιότητα ζωής, γενική υγεία). </w:t>
            </w:r>
            <w:r>
              <w:rPr>
                <w:sz w:val="19"/>
                <w:szCs w:val="19"/>
              </w:rPr>
              <w:t>Βα</w:t>
            </w:r>
            <w:proofErr w:type="spellStart"/>
            <w:r>
              <w:rPr>
                <w:sz w:val="19"/>
                <w:szCs w:val="19"/>
              </w:rPr>
              <w:t>θμολογί</w:t>
            </w:r>
            <w:proofErr w:type="spellEnd"/>
            <w:r>
              <w:rPr>
                <w:sz w:val="19"/>
                <w:szCs w:val="19"/>
              </w:rPr>
              <w:t xml:space="preserve">α 0–100, </w:t>
            </w:r>
            <w:proofErr w:type="spellStart"/>
            <w:r>
              <w:rPr>
                <w:sz w:val="19"/>
                <w:szCs w:val="19"/>
              </w:rPr>
              <w:t>υψηλότερη</w:t>
            </w:r>
            <w:proofErr w:type="spellEnd"/>
            <w:r>
              <w:rPr>
                <w:sz w:val="19"/>
                <w:szCs w:val="19"/>
              </w:rPr>
              <w:t xml:space="preserve"> = κα</w:t>
            </w:r>
            <w:proofErr w:type="spellStart"/>
            <w:r>
              <w:rPr>
                <w:sz w:val="19"/>
                <w:szCs w:val="19"/>
              </w:rPr>
              <w:t>λύτερη</w:t>
            </w:r>
            <w:proofErr w:type="spellEnd"/>
          </w:p>
        </w:tc>
        <w:tc>
          <w:tcPr>
            <w:tcW w:w="3024" w:type="dxa"/>
            <w:tcBorders>
              <w:top w:val="single" w:sz="4" w:space="0" w:color="BFBFBF"/>
              <w:left w:val="single" w:sz="4" w:space="0" w:color="BFBFBF"/>
              <w:bottom w:val="single" w:sz="4" w:space="0" w:color="BFBFBF"/>
              <w:right w:val="single" w:sz="4" w:space="0" w:color="BFBFBF"/>
            </w:tcBorders>
          </w:tcPr>
          <w:p w14:paraId="3771CD19" w14:textId="77777777" w:rsidR="00E63D5B" w:rsidRDefault="001F059D">
            <w:pPr>
              <w:spacing w:after="40" w:line="240" w:lineRule="auto"/>
              <w:jc w:val="left"/>
            </w:pPr>
            <w:proofErr w:type="spellStart"/>
            <w:r>
              <w:rPr>
                <w:sz w:val="19"/>
                <w:szCs w:val="19"/>
              </w:rPr>
              <w:t>Γυν</w:t>
            </w:r>
            <w:proofErr w:type="spellEnd"/>
            <w:r>
              <w:rPr>
                <w:sz w:val="19"/>
                <w:szCs w:val="19"/>
              </w:rPr>
              <w:t xml:space="preserve">αίκες και </w:t>
            </w:r>
            <w:proofErr w:type="spellStart"/>
            <w:r>
              <w:rPr>
                <w:sz w:val="19"/>
                <w:szCs w:val="19"/>
              </w:rPr>
              <w:t>έφη</w:t>
            </w:r>
            <w:proofErr w:type="spellEnd"/>
            <w:r>
              <w:rPr>
                <w:sz w:val="19"/>
                <w:szCs w:val="19"/>
              </w:rPr>
              <w:t>βοι/ες</w:t>
            </w:r>
          </w:p>
        </w:tc>
      </w:tr>
      <w:tr w:rsidR="00E63D5B" w14:paraId="1E65C33A"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64A5D17C" w14:textId="2E308BBB" w:rsidR="00E63D5B" w:rsidRDefault="001F059D">
            <w:pPr>
              <w:spacing w:after="40" w:line="240" w:lineRule="auto"/>
              <w:jc w:val="left"/>
            </w:pPr>
            <w:r>
              <w:rPr>
                <w:sz w:val="19"/>
                <w:szCs w:val="19"/>
              </w:rPr>
              <w:lastRenderedPageBreak/>
              <w:t xml:space="preserve">ETI-SF (Early Trauma </w:t>
            </w:r>
            <w:proofErr w:type="spellStart"/>
            <w:r>
              <w:rPr>
                <w:sz w:val="19"/>
                <w:szCs w:val="19"/>
              </w:rPr>
              <w:t>Inventory·Bremner</w:t>
            </w:r>
            <w:proofErr w:type="spellEnd"/>
            <w:r>
              <w:rPr>
                <w:sz w:val="19"/>
                <w:szCs w:val="19"/>
              </w:rPr>
              <w:t xml:space="preserve"> et al., 2000·ελληνική π</w:t>
            </w:r>
            <w:proofErr w:type="spellStart"/>
            <w:r>
              <w:rPr>
                <w:sz w:val="19"/>
                <w:szCs w:val="19"/>
              </w:rPr>
              <w:t>ροσ</w:t>
            </w:r>
            <w:proofErr w:type="spellEnd"/>
            <w:r>
              <w:rPr>
                <w:sz w:val="19"/>
                <w:szCs w:val="19"/>
              </w:rPr>
              <w:t>αρμογή Antonopoulou et al., 2017)</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48626EFE" w14:textId="77777777" w:rsidR="00E63D5B" w:rsidRDefault="001F059D">
            <w:pPr>
              <w:spacing w:after="40" w:line="240" w:lineRule="auto"/>
              <w:jc w:val="left"/>
            </w:pPr>
            <w:r>
              <w:rPr>
                <w:sz w:val="19"/>
                <w:szCs w:val="19"/>
                <w:lang w:val="el-GR"/>
              </w:rPr>
              <w:t xml:space="preserve">Τις τραυματικές εμπειρίες πριν από τα 18 σε τέσσερις τομείς: γενικό τραύμα (π.χ. ατυχήματα, απώλειες, μαρτυρία βίας), σωματική, συναισθηματική και σεξουαλική κακοποίηση. </w:t>
            </w:r>
            <w:r>
              <w:rPr>
                <w:sz w:val="19"/>
                <w:szCs w:val="19"/>
              </w:rPr>
              <w:t xml:space="preserve">27 </w:t>
            </w:r>
            <w:proofErr w:type="spellStart"/>
            <w:r>
              <w:rPr>
                <w:sz w:val="19"/>
                <w:szCs w:val="19"/>
              </w:rPr>
              <w:t>ερωτήσεις</w:t>
            </w:r>
            <w:proofErr w:type="spellEnd"/>
            <w:r>
              <w:rPr>
                <w:sz w:val="19"/>
                <w:szCs w:val="19"/>
              </w:rPr>
              <w:t xml:space="preserve"> ναι/</w:t>
            </w:r>
            <w:proofErr w:type="spellStart"/>
            <w:r>
              <w:rPr>
                <w:sz w:val="19"/>
                <w:szCs w:val="19"/>
              </w:rPr>
              <w:t>όχι</w:t>
            </w:r>
            <w:proofErr w:type="spellEnd"/>
            <w:r>
              <w:rPr>
                <w:sz w:val="19"/>
                <w:szCs w:val="19"/>
              </w:rPr>
              <w:t xml:space="preserve"> </w:t>
            </w:r>
            <w:proofErr w:type="spellStart"/>
            <w:r>
              <w:rPr>
                <w:sz w:val="19"/>
                <w:szCs w:val="19"/>
              </w:rPr>
              <w:t>με</w:t>
            </w:r>
            <w:proofErr w:type="spellEnd"/>
            <w:r>
              <w:rPr>
                <w:sz w:val="19"/>
                <w:szCs w:val="19"/>
              </w:rPr>
              <w:t xml:space="preserve"> </w:t>
            </w:r>
            <w:proofErr w:type="spellStart"/>
            <w:r>
              <w:rPr>
                <w:sz w:val="19"/>
                <w:szCs w:val="19"/>
              </w:rPr>
              <w:t>συχνότητ</w:t>
            </w:r>
            <w:proofErr w:type="spellEnd"/>
            <w:r>
              <w:rPr>
                <w:sz w:val="19"/>
                <w:szCs w:val="19"/>
              </w:rPr>
              <w:t>α</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0348E42A" w14:textId="77777777" w:rsidR="00E63D5B" w:rsidRDefault="001F059D">
            <w:pPr>
              <w:spacing w:after="40" w:line="240" w:lineRule="auto"/>
              <w:jc w:val="left"/>
            </w:pPr>
            <w:proofErr w:type="spellStart"/>
            <w:r>
              <w:rPr>
                <w:sz w:val="19"/>
                <w:szCs w:val="19"/>
              </w:rPr>
              <w:t>Γυν</w:t>
            </w:r>
            <w:proofErr w:type="spellEnd"/>
            <w:r>
              <w:rPr>
                <w:sz w:val="19"/>
                <w:szCs w:val="19"/>
              </w:rPr>
              <w:t>αίκες</w:t>
            </w:r>
          </w:p>
        </w:tc>
      </w:tr>
      <w:tr w:rsidR="00E63D5B" w:rsidRPr="00D84B1E" w14:paraId="2121D53C"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tcPr>
          <w:p w14:paraId="40FF42BE" w14:textId="0E697358" w:rsidR="00E63D5B" w:rsidRDefault="001F059D">
            <w:pPr>
              <w:spacing w:after="40" w:line="240" w:lineRule="auto"/>
              <w:jc w:val="left"/>
            </w:pPr>
            <w:r>
              <w:rPr>
                <w:sz w:val="19"/>
                <w:szCs w:val="19"/>
              </w:rPr>
              <w:t xml:space="preserve">PTGI (Posttraumatic Growth </w:t>
            </w:r>
            <w:proofErr w:type="spellStart"/>
            <w:r>
              <w:rPr>
                <w:sz w:val="19"/>
                <w:szCs w:val="19"/>
              </w:rPr>
              <w:t>Inventory·Tedeschi</w:t>
            </w:r>
            <w:proofErr w:type="spellEnd"/>
            <w:r>
              <w:rPr>
                <w:sz w:val="19"/>
                <w:szCs w:val="19"/>
              </w:rPr>
              <w:t xml:space="preserve"> &amp; Calhoun, 1996·ελληνική π</w:t>
            </w:r>
            <w:proofErr w:type="spellStart"/>
            <w:r>
              <w:rPr>
                <w:sz w:val="19"/>
                <w:szCs w:val="19"/>
              </w:rPr>
              <w:t>ροσ</w:t>
            </w:r>
            <w:proofErr w:type="spellEnd"/>
            <w:r>
              <w:rPr>
                <w:sz w:val="19"/>
                <w:szCs w:val="19"/>
              </w:rPr>
              <w:t xml:space="preserve">αρμογή </w:t>
            </w:r>
            <w:proofErr w:type="spellStart"/>
            <w:r>
              <w:rPr>
                <w:sz w:val="19"/>
                <w:szCs w:val="19"/>
              </w:rPr>
              <w:t>Mystakidou</w:t>
            </w:r>
            <w:proofErr w:type="spellEnd"/>
            <w:r>
              <w:rPr>
                <w:sz w:val="19"/>
                <w:szCs w:val="19"/>
              </w:rPr>
              <w:t xml:space="preserve"> et al., 2008·πα</w:t>
            </w:r>
            <w:proofErr w:type="spellStart"/>
            <w:r>
              <w:rPr>
                <w:sz w:val="19"/>
                <w:szCs w:val="19"/>
              </w:rPr>
              <w:t>ιδική</w:t>
            </w:r>
            <w:proofErr w:type="spellEnd"/>
            <w:r>
              <w:rPr>
                <w:sz w:val="19"/>
                <w:szCs w:val="19"/>
              </w:rPr>
              <w:t xml:space="preserve"> </w:t>
            </w:r>
            <w:proofErr w:type="spellStart"/>
            <w:r>
              <w:rPr>
                <w:sz w:val="19"/>
                <w:szCs w:val="19"/>
              </w:rPr>
              <w:t>εκδοχή</w:t>
            </w:r>
            <w:proofErr w:type="spellEnd"/>
            <w:r>
              <w:rPr>
                <w:sz w:val="19"/>
                <w:szCs w:val="19"/>
              </w:rPr>
              <w:t xml:space="preserve"> PTGI-C-R, Kilmer et al., 2009·Tamiolaki et al., 2026)</w:t>
            </w:r>
          </w:p>
        </w:tc>
        <w:tc>
          <w:tcPr>
            <w:tcW w:w="3024" w:type="dxa"/>
            <w:tcBorders>
              <w:top w:val="single" w:sz="4" w:space="0" w:color="BFBFBF"/>
              <w:left w:val="single" w:sz="4" w:space="0" w:color="BFBFBF"/>
              <w:bottom w:val="single" w:sz="4" w:space="0" w:color="BFBFBF"/>
              <w:right w:val="single" w:sz="4" w:space="0" w:color="BFBFBF"/>
            </w:tcBorders>
          </w:tcPr>
          <w:p w14:paraId="1BB0461F" w14:textId="77777777" w:rsidR="00E63D5B" w:rsidRDefault="001F059D">
            <w:pPr>
              <w:spacing w:after="40" w:line="240" w:lineRule="auto"/>
              <w:jc w:val="left"/>
            </w:pPr>
            <w:r>
              <w:rPr>
                <w:sz w:val="19"/>
                <w:szCs w:val="19"/>
                <w:lang w:val="el-GR"/>
              </w:rPr>
              <w:t xml:space="preserve">Τις θετικές αλλαγές που οι γυναίκες αναγνωρίζουν μετά την τραυματική εμπειρία, σε πέντε τομείς: σχέσεις με άλλους, νέες δυνατότητες, προσωπική δύναμη, πνευματική αλλαγή, εκτίμηση της ζωής. </w:t>
            </w:r>
            <w:r>
              <w:rPr>
                <w:sz w:val="19"/>
                <w:szCs w:val="19"/>
              </w:rPr>
              <w:t xml:space="preserve">21 </w:t>
            </w:r>
            <w:proofErr w:type="spellStart"/>
            <w:r>
              <w:rPr>
                <w:sz w:val="19"/>
                <w:szCs w:val="19"/>
              </w:rPr>
              <w:t>ερωτήσεις</w:t>
            </w:r>
            <w:proofErr w:type="spellEnd"/>
            <w:r>
              <w:rPr>
                <w:sz w:val="19"/>
                <w:szCs w:val="19"/>
              </w:rPr>
              <w:t>, 0–105</w:t>
            </w:r>
          </w:p>
        </w:tc>
        <w:tc>
          <w:tcPr>
            <w:tcW w:w="3024" w:type="dxa"/>
            <w:tcBorders>
              <w:top w:val="single" w:sz="4" w:space="0" w:color="BFBFBF"/>
              <w:left w:val="single" w:sz="4" w:space="0" w:color="BFBFBF"/>
              <w:bottom w:val="single" w:sz="4" w:space="0" w:color="BFBFBF"/>
              <w:right w:val="single" w:sz="4" w:space="0" w:color="BFBFBF"/>
            </w:tcBorders>
          </w:tcPr>
          <w:p w14:paraId="547ED798" w14:textId="176D5AA8" w:rsidR="00E63D5B" w:rsidRPr="00132066" w:rsidRDefault="001F059D">
            <w:pPr>
              <w:spacing w:after="40" w:line="240" w:lineRule="auto"/>
              <w:jc w:val="left"/>
              <w:rPr>
                <w:lang w:val="el-GR"/>
              </w:rPr>
            </w:pPr>
            <w:r>
              <w:rPr>
                <w:sz w:val="19"/>
                <w:szCs w:val="19"/>
                <w:lang w:val="el-GR"/>
              </w:rPr>
              <w:t xml:space="preserve">Γυναίκες (η παιδική εκδοχή </w:t>
            </w:r>
            <w:r>
              <w:rPr>
                <w:sz w:val="19"/>
                <w:szCs w:val="19"/>
              </w:rPr>
              <w:t>PTGI</w:t>
            </w:r>
            <w:r>
              <w:rPr>
                <w:sz w:val="19"/>
                <w:szCs w:val="19"/>
                <w:lang w:val="el-GR"/>
              </w:rPr>
              <w:t>-</w:t>
            </w:r>
            <w:r>
              <w:rPr>
                <w:sz w:val="19"/>
                <w:szCs w:val="19"/>
              </w:rPr>
              <w:t>C</w:t>
            </w:r>
            <w:r>
              <w:rPr>
                <w:sz w:val="19"/>
                <w:szCs w:val="19"/>
                <w:lang w:val="el-GR"/>
              </w:rPr>
              <w:t>-</w:t>
            </w:r>
            <w:r>
              <w:rPr>
                <w:sz w:val="19"/>
                <w:szCs w:val="19"/>
              </w:rPr>
              <w:t>R</w:t>
            </w:r>
            <w:r>
              <w:rPr>
                <w:sz w:val="19"/>
                <w:szCs w:val="19"/>
                <w:lang w:val="el-GR"/>
              </w:rPr>
              <w:t xml:space="preserve"> με 10 ερωτήσεις από τους/τις </w:t>
            </w:r>
            <w:r w:rsidR="005A13CF">
              <w:rPr>
                <w:sz w:val="19"/>
                <w:szCs w:val="19"/>
                <w:lang w:val="el-GR"/>
              </w:rPr>
              <w:t>έφηβους</w:t>
            </w:r>
            <w:r>
              <w:rPr>
                <w:sz w:val="19"/>
                <w:szCs w:val="19"/>
                <w:lang w:val="el-GR"/>
              </w:rPr>
              <w:t>/ες)</w:t>
            </w:r>
          </w:p>
        </w:tc>
      </w:tr>
      <w:tr w:rsidR="00E63D5B" w14:paraId="64038BED"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29FE31AB" w14:textId="77777777" w:rsidR="00E63D5B" w:rsidRDefault="001F059D">
            <w:pPr>
              <w:spacing w:after="40" w:line="240" w:lineRule="auto"/>
              <w:jc w:val="left"/>
            </w:pPr>
            <w:r>
              <w:rPr>
                <w:sz w:val="19"/>
                <w:szCs w:val="19"/>
              </w:rPr>
              <w:t xml:space="preserve">BRS (Brief Resilience </w:t>
            </w:r>
            <w:proofErr w:type="spellStart"/>
            <w:r>
              <w:rPr>
                <w:sz w:val="19"/>
                <w:szCs w:val="19"/>
              </w:rPr>
              <w:t>Scale·Smith</w:t>
            </w:r>
            <w:proofErr w:type="spellEnd"/>
            <w:r>
              <w:rPr>
                <w:sz w:val="19"/>
                <w:szCs w:val="19"/>
              </w:rPr>
              <w:t xml:space="preserve"> et al., 2008·ελληνική π</w:t>
            </w:r>
            <w:proofErr w:type="spellStart"/>
            <w:r>
              <w:rPr>
                <w:sz w:val="19"/>
                <w:szCs w:val="19"/>
              </w:rPr>
              <w:t>ροσ</w:t>
            </w:r>
            <w:proofErr w:type="spellEnd"/>
            <w:r>
              <w:rPr>
                <w:sz w:val="19"/>
                <w:szCs w:val="19"/>
              </w:rPr>
              <w:t>αρμογή Kyriazos et al., 2018)</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17C442EB" w14:textId="1C9AB6E0" w:rsidR="00E63D5B" w:rsidRDefault="001F059D" w:rsidP="00294604">
            <w:pPr>
              <w:spacing w:after="40" w:line="240" w:lineRule="auto"/>
              <w:jc w:val="left"/>
            </w:pPr>
            <w:r>
              <w:rPr>
                <w:sz w:val="19"/>
                <w:szCs w:val="19"/>
                <w:lang w:val="el-GR"/>
              </w:rPr>
              <w:t xml:space="preserve">Την ψυχική ανθεκτικότητα, δηλαδή την ικανότητα ανάκαμψης μετά από δυσκολίες. </w:t>
            </w:r>
            <w:r>
              <w:rPr>
                <w:sz w:val="19"/>
                <w:szCs w:val="19"/>
              </w:rPr>
              <w:t xml:space="preserve">6 </w:t>
            </w:r>
            <w:proofErr w:type="spellStart"/>
            <w:r>
              <w:rPr>
                <w:sz w:val="19"/>
                <w:szCs w:val="19"/>
              </w:rPr>
              <w:t>ερωτήσεις</w:t>
            </w:r>
            <w:proofErr w:type="spellEnd"/>
            <w:r>
              <w:rPr>
                <w:sz w:val="19"/>
                <w:szCs w:val="19"/>
              </w:rPr>
              <w:t xml:space="preserve">, </w:t>
            </w:r>
            <w:proofErr w:type="spellStart"/>
            <w:r>
              <w:rPr>
                <w:sz w:val="19"/>
                <w:szCs w:val="19"/>
              </w:rPr>
              <w:t>μέσος</w:t>
            </w:r>
            <w:proofErr w:type="spellEnd"/>
            <w:r>
              <w:rPr>
                <w:sz w:val="19"/>
                <w:szCs w:val="19"/>
              </w:rPr>
              <w:t xml:space="preserve"> </w:t>
            </w:r>
            <w:proofErr w:type="spellStart"/>
            <w:r>
              <w:rPr>
                <w:sz w:val="19"/>
                <w:szCs w:val="19"/>
              </w:rPr>
              <w:t>όρος</w:t>
            </w:r>
            <w:proofErr w:type="spellEnd"/>
            <w:r>
              <w:rPr>
                <w:sz w:val="19"/>
                <w:szCs w:val="19"/>
              </w:rPr>
              <w:t xml:space="preserve"> 1–5</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5F47E405" w14:textId="77777777" w:rsidR="00E63D5B" w:rsidRDefault="001F059D">
            <w:pPr>
              <w:spacing w:after="40" w:line="240" w:lineRule="auto"/>
              <w:jc w:val="left"/>
            </w:pPr>
            <w:proofErr w:type="spellStart"/>
            <w:r>
              <w:rPr>
                <w:sz w:val="19"/>
                <w:szCs w:val="19"/>
              </w:rPr>
              <w:t>Γυν</w:t>
            </w:r>
            <w:proofErr w:type="spellEnd"/>
            <w:r>
              <w:rPr>
                <w:sz w:val="19"/>
                <w:szCs w:val="19"/>
              </w:rPr>
              <w:t xml:space="preserve">αίκες και </w:t>
            </w:r>
            <w:proofErr w:type="spellStart"/>
            <w:r>
              <w:rPr>
                <w:sz w:val="19"/>
                <w:szCs w:val="19"/>
              </w:rPr>
              <w:t>έφη</w:t>
            </w:r>
            <w:proofErr w:type="spellEnd"/>
            <w:r>
              <w:rPr>
                <w:sz w:val="19"/>
                <w:szCs w:val="19"/>
              </w:rPr>
              <w:t>βοι/ες</w:t>
            </w:r>
          </w:p>
        </w:tc>
      </w:tr>
      <w:tr w:rsidR="00E63D5B" w14:paraId="67162DCC"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tcPr>
          <w:p w14:paraId="771BE374" w14:textId="77777777" w:rsidR="00E63D5B" w:rsidRDefault="001F059D">
            <w:pPr>
              <w:spacing w:after="40" w:line="240" w:lineRule="auto"/>
              <w:jc w:val="left"/>
            </w:pPr>
            <w:r>
              <w:rPr>
                <w:sz w:val="19"/>
                <w:szCs w:val="19"/>
              </w:rPr>
              <w:t xml:space="preserve">PBI (Parental Bonding </w:t>
            </w:r>
            <w:proofErr w:type="spellStart"/>
            <w:r>
              <w:rPr>
                <w:sz w:val="19"/>
                <w:szCs w:val="19"/>
              </w:rPr>
              <w:t>Instrument·Parker</w:t>
            </w:r>
            <w:proofErr w:type="spellEnd"/>
            <w:r>
              <w:rPr>
                <w:sz w:val="19"/>
                <w:szCs w:val="19"/>
              </w:rPr>
              <w:t>, 1990)</w:t>
            </w:r>
          </w:p>
        </w:tc>
        <w:tc>
          <w:tcPr>
            <w:tcW w:w="3024" w:type="dxa"/>
            <w:tcBorders>
              <w:top w:val="single" w:sz="4" w:space="0" w:color="BFBFBF"/>
              <w:left w:val="single" w:sz="4" w:space="0" w:color="BFBFBF"/>
              <w:bottom w:val="single" w:sz="4" w:space="0" w:color="BFBFBF"/>
              <w:right w:val="single" w:sz="4" w:space="0" w:color="BFBFBF"/>
            </w:tcBorders>
          </w:tcPr>
          <w:p w14:paraId="03F1C99D" w14:textId="77777777" w:rsidR="00E63D5B" w:rsidRPr="00132066" w:rsidRDefault="001F059D">
            <w:pPr>
              <w:spacing w:after="40" w:line="240" w:lineRule="auto"/>
              <w:jc w:val="left"/>
              <w:rPr>
                <w:lang w:val="el-GR"/>
              </w:rPr>
            </w:pPr>
            <w:r>
              <w:rPr>
                <w:sz w:val="19"/>
                <w:szCs w:val="19"/>
                <w:lang w:val="el-GR"/>
              </w:rPr>
              <w:t>Πώς θυμούνται οι γυναίκες τη σχέση με τη μητέρα και τον πατέρα τους στην παιδική ηλικία, σε δύο διαστάσεις: φροντίδα και υπερπροστασία</w:t>
            </w:r>
          </w:p>
        </w:tc>
        <w:tc>
          <w:tcPr>
            <w:tcW w:w="3024" w:type="dxa"/>
            <w:tcBorders>
              <w:top w:val="single" w:sz="4" w:space="0" w:color="BFBFBF"/>
              <w:left w:val="single" w:sz="4" w:space="0" w:color="BFBFBF"/>
              <w:bottom w:val="single" w:sz="4" w:space="0" w:color="BFBFBF"/>
              <w:right w:val="single" w:sz="4" w:space="0" w:color="BFBFBF"/>
            </w:tcBorders>
          </w:tcPr>
          <w:p w14:paraId="6DD031DF" w14:textId="77777777" w:rsidR="00E63D5B" w:rsidRDefault="001F059D">
            <w:pPr>
              <w:spacing w:after="40" w:line="240" w:lineRule="auto"/>
              <w:jc w:val="left"/>
            </w:pPr>
            <w:proofErr w:type="spellStart"/>
            <w:r>
              <w:rPr>
                <w:sz w:val="19"/>
                <w:szCs w:val="19"/>
              </w:rPr>
              <w:t>Γυν</w:t>
            </w:r>
            <w:proofErr w:type="spellEnd"/>
            <w:r>
              <w:rPr>
                <w:sz w:val="19"/>
                <w:szCs w:val="19"/>
              </w:rPr>
              <w:t>αίκες</w:t>
            </w:r>
          </w:p>
        </w:tc>
      </w:tr>
      <w:tr w:rsidR="00E63D5B" w:rsidRPr="00D84B1E" w14:paraId="6B21644F"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58E7D9A1" w14:textId="77777777" w:rsidR="00E63D5B" w:rsidRDefault="001F059D">
            <w:pPr>
              <w:spacing w:after="40" w:line="240" w:lineRule="auto"/>
              <w:jc w:val="left"/>
            </w:pPr>
            <w:r>
              <w:rPr>
                <w:sz w:val="19"/>
                <w:szCs w:val="19"/>
              </w:rPr>
              <w:t xml:space="preserve">PBQ (Parental Behavior </w:t>
            </w:r>
            <w:proofErr w:type="spellStart"/>
            <w:r>
              <w:rPr>
                <w:sz w:val="19"/>
                <w:szCs w:val="19"/>
              </w:rPr>
              <w:t>Questionnaire·Barber</w:t>
            </w:r>
            <w:proofErr w:type="spellEnd"/>
            <w:r>
              <w:rPr>
                <w:sz w:val="19"/>
                <w:szCs w:val="19"/>
              </w:rPr>
              <w:t>, 1996·ελληνική π</w:t>
            </w:r>
            <w:proofErr w:type="spellStart"/>
            <w:r>
              <w:rPr>
                <w:sz w:val="19"/>
                <w:szCs w:val="19"/>
              </w:rPr>
              <w:t>ροσ</w:t>
            </w:r>
            <w:proofErr w:type="spellEnd"/>
            <w:r>
              <w:rPr>
                <w:sz w:val="19"/>
                <w:szCs w:val="19"/>
              </w:rPr>
              <w:t xml:space="preserve">αρμογή </w:t>
            </w:r>
            <w:proofErr w:type="spellStart"/>
            <w:r>
              <w:rPr>
                <w:sz w:val="19"/>
                <w:szCs w:val="19"/>
              </w:rPr>
              <w:t>Τάντ</w:t>
            </w:r>
            <w:proofErr w:type="spellEnd"/>
            <w:r>
              <w:rPr>
                <w:sz w:val="19"/>
                <w:szCs w:val="19"/>
              </w:rPr>
              <w:t xml:space="preserve">αρος και </w:t>
            </w:r>
            <w:proofErr w:type="spellStart"/>
            <w:r>
              <w:rPr>
                <w:sz w:val="19"/>
                <w:szCs w:val="19"/>
              </w:rPr>
              <w:t>συν</w:t>
            </w:r>
            <w:proofErr w:type="spellEnd"/>
            <w:r>
              <w:rPr>
                <w:sz w:val="19"/>
                <w:szCs w:val="19"/>
              </w:rPr>
              <w:t>., 2016)</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5194CC41" w14:textId="77777777" w:rsidR="00E63D5B" w:rsidRDefault="001F059D">
            <w:pPr>
              <w:spacing w:after="40" w:line="240" w:lineRule="auto"/>
              <w:jc w:val="left"/>
            </w:pPr>
            <w:r>
              <w:rPr>
                <w:sz w:val="19"/>
                <w:szCs w:val="19"/>
                <w:lang w:val="el-GR"/>
              </w:rPr>
              <w:t xml:space="preserve">Τις δικές της γονικές πρακτικές σε πέντε διαστάσεις: ζεστασιά, απόρριψη, αγχώδης ανατροφή, υπερπροστασία, άκριτος έπαινος. </w:t>
            </w:r>
            <w:r>
              <w:rPr>
                <w:sz w:val="19"/>
                <w:szCs w:val="19"/>
              </w:rPr>
              <w:t xml:space="preserve">30 </w:t>
            </w:r>
            <w:proofErr w:type="spellStart"/>
            <w:r>
              <w:rPr>
                <w:sz w:val="19"/>
                <w:szCs w:val="19"/>
              </w:rPr>
              <w:t>δηλώσεις</w:t>
            </w:r>
            <w:proofErr w:type="spellEnd"/>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546CC07D" w14:textId="77777777" w:rsidR="00E63D5B" w:rsidRPr="00132066" w:rsidRDefault="001F059D">
            <w:pPr>
              <w:spacing w:after="40" w:line="240" w:lineRule="auto"/>
              <w:jc w:val="left"/>
              <w:rPr>
                <w:lang w:val="el-GR"/>
              </w:rPr>
            </w:pPr>
            <w:r>
              <w:rPr>
                <w:sz w:val="19"/>
                <w:szCs w:val="19"/>
                <w:lang w:val="el-GR"/>
              </w:rPr>
              <w:t>Μητέρες (και έφηβοι/ες για τη μητέρα τους)</w:t>
            </w:r>
          </w:p>
        </w:tc>
      </w:tr>
      <w:tr w:rsidR="00E63D5B" w:rsidRPr="00D84B1E" w14:paraId="6A6A0AF3"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tcPr>
          <w:p w14:paraId="7B120FED" w14:textId="7E7AB06F" w:rsidR="00E63D5B" w:rsidRDefault="001F059D">
            <w:pPr>
              <w:spacing w:after="40" w:line="240" w:lineRule="auto"/>
              <w:jc w:val="left"/>
            </w:pPr>
            <w:r>
              <w:rPr>
                <w:sz w:val="19"/>
                <w:szCs w:val="19"/>
              </w:rPr>
              <w:t xml:space="preserve">SDQ (Strengths and Difficulties </w:t>
            </w:r>
            <w:proofErr w:type="spellStart"/>
            <w:r>
              <w:rPr>
                <w:sz w:val="19"/>
                <w:szCs w:val="19"/>
              </w:rPr>
              <w:t>Questionnaire·Goodman</w:t>
            </w:r>
            <w:proofErr w:type="spellEnd"/>
            <w:r>
              <w:rPr>
                <w:sz w:val="19"/>
                <w:szCs w:val="19"/>
              </w:rPr>
              <w:t>, 1997·ελληνική π</w:t>
            </w:r>
            <w:proofErr w:type="spellStart"/>
            <w:r>
              <w:rPr>
                <w:sz w:val="19"/>
                <w:szCs w:val="19"/>
              </w:rPr>
              <w:t>ροσ</w:t>
            </w:r>
            <w:proofErr w:type="spellEnd"/>
            <w:r>
              <w:rPr>
                <w:sz w:val="19"/>
                <w:szCs w:val="19"/>
              </w:rPr>
              <w:t>αρμογή Giannakopoulos et al., 2009)</w:t>
            </w:r>
          </w:p>
        </w:tc>
        <w:tc>
          <w:tcPr>
            <w:tcW w:w="3024" w:type="dxa"/>
            <w:tcBorders>
              <w:top w:val="single" w:sz="4" w:space="0" w:color="BFBFBF"/>
              <w:left w:val="single" w:sz="4" w:space="0" w:color="BFBFBF"/>
              <w:bottom w:val="single" w:sz="4" w:space="0" w:color="BFBFBF"/>
              <w:right w:val="single" w:sz="4" w:space="0" w:color="BFBFBF"/>
            </w:tcBorders>
          </w:tcPr>
          <w:p w14:paraId="7EF9E038" w14:textId="43CF9EBD" w:rsidR="00E63D5B" w:rsidRPr="00703EE8" w:rsidRDefault="001F059D">
            <w:pPr>
              <w:spacing w:after="40" w:line="240" w:lineRule="auto"/>
              <w:jc w:val="left"/>
              <w:rPr>
                <w:lang w:val="el-GR"/>
              </w:rPr>
            </w:pPr>
            <w:r>
              <w:rPr>
                <w:sz w:val="19"/>
                <w:szCs w:val="19"/>
                <w:lang w:val="el-GR"/>
              </w:rPr>
              <w:t xml:space="preserve">Τις συναισθηματικές και </w:t>
            </w:r>
            <w:proofErr w:type="spellStart"/>
            <w:r>
              <w:rPr>
                <w:sz w:val="19"/>
                <w:szCs w:val="19"/>
                <w:lang w:val="el-GR"/>
              </w:rPr>
              <w:t>συμπεριφορικές</w:t>
            </w:r>
            <w:proofErr w:type="spellEnd"/>
            <w:r>
              <w:rPr>
                <w:sz w:val="19"/>
                <w:szCs w:val="19"/>
                <w:lang w:val="el-GR"/>
              </w:rPr>
              <w:t xml:space="preserve"> δυσκολίες του παιδιού σε τέσσερις τομείς (συναισθηματικά συμπτώματα, προβλήματα διαγωγής, </w:t>
            </w:r>
            <w:proofErr w:type="spellStart"/>
            <w:r>
              <w:rPr>
                <w:sz w:val="19"/>
                <w:szCs w:val="19"/>
                <w:lang w:val="el-GR"/>
              </w:rPr>
              <w:t>υπερκινητικότητα</w:t>
            </w:r>
            <w:proofErr w:type="spellEnd"/>
            <w:r>
              <w:rPr>
                <w:sz w:val="19"/>
                <w:szCs w:val="19"/>
                <w:lang w:val="el-GR"/>
              </w:rPr>
              <w:t>/απροσεξία, προβλήματα με συνομήλικα άτομα) και τη θετική κοινωνική συμπεριφορά. 25 ερωτήσεις</w:t>
            </w:r>
          </w:p>
        </w:tc>
        <w:tc>
          <w:tcPr>
            <w:tcW w:w="3024" w:type="dxa"/>
            <w:tcBorders>
              <w:top w:val="single" w:sz="4" w:space="0" w:color="BFBFBF"/>
              <w:left w:val="single" w:sz="4" w:space="0" w:color="BFBFBF"/>
              <w:bottom w:val="single" w:sz="4" w:space="0" w:color="BFBFBF"/>
              <w:right w:val="single" w:sz="4" w:space="0" w:color="BFBFBF"/>
            </w:tcBorders>
          </w:tcPr>
          <w:p w14:paraId="531BBE8D" w14:textId="77777777" w:rsidR="00E63D5B" w:rsidRPr="00132066" w:rsidRDefault="001F059D">
            <w:pPr>
              <w:spacing w:after="40" w:line="240" w:lineRule="auto"/>
              <w:jc w:val="left"/>
              <w:rPr>
                <w:lang w:val="el-GR"/>
              </w:rPr>
            </w:pPr>
            <w:r>
              <w:rPr>
                <w:sz w:val="19"/>
                <w:szCs w:val="19"/>
                <w:lang w:val="el-GR"/>
              </w:rPr>
              <w:t>Μητέρες (για παιδιά 2–4 και 4–17 ετών) και έφηβοι/ες (</w:t>
            </w:r>
            <w:proofErr w:type="spellStart"/>
            <w:r>
              <w:rPr>
                <w:sz w:val="19"/>
                <w:szCs w:val="19"/>
                <w:lang w:val="el-GR"/>
              </w:rPr>
              <w:t>αυτοαναφορά</w:t>
            </w:r>
            <w:proofErr w:type="spellEnd"/>
            <w:r>
              <w:rPr>
                <w:sz w:val="19"/>
                <w:szCs w:val="19"/>
                <w:lang w:val="el-GR"/>
              </w:rPr>
              <w:t>)</w:t>
            </w:r>
          </w:p>
        </w:tc>
      </w:tr>
      <w:tr w:rsidR="00E63D5B" w14:paraId="3C3BB4F8"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0133036B" w14:textId="77777777" w:rsidR="00E63D5B" w:rsidRDefault="001F059D">
            <w:pPr>
              <w:spacing w:after="40" w:line="240" w:lineRule="auto"/>
              <w:jc w:val="left"/>
            </w:pPr>
            <w:r>
              <w:rPr>
                <w:sz w:val="19"/>
                <w:szCs w:val="19"/>
              </w:rPr>
              <w:t>HITS-C</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1D16CC02" w14:textId="77777777" w:rsidR="00E63D5B" w:rsidRDefault="001F059D">
            <w:pPr>
              <w:spacing w:after="40" w:line="240" w:lineRule="auto"/>
              <w:jc w:val="left"/>
            </w:pPr>
            <w:r>
              <w:rPr>
                <w:sz w:val="19"/>
                <w:szCs w:val="19"/>
                <w:lang w:val="el-GR"/>
              </w:rPr>
              <w:t xml:space="preserve">Την έκθεση του παιδιού σε τέσσερις μορφές βίας: λεκτική κακοποίηση, σωματική κακοποίηση, σεξουαλική κακοποίηση, παρουσία σε βία ή απειλή κατά της μητέρας. </w:t>
            </w:r>
            <w:r>
              <w:rPr>
                <w:sz w:val="19"/>
                <w:szCs w:val="19"/>
              </w:rPr>
              <w:t>Ναι/</w:t>
            </w:r>
            <w:proofErr w:type="spellStart"/>
            <w:r>
              <w:rPr>
                <w:sz w:val="19"/>
                <w:szCs w:val="19"/>
              </w:rPr>
              <w:t>όχι</w:t>
            </w:r>
            <w:proofErr w:type="spellEnd"/>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0E9D1BAF" w14:textId="77777777" w:rsidR="00E63D5B" w:rsidRDefault="001F059D">
            <w:pPr>
              <w:spacing w:after="40" w:line="240" w:lineRule="auto"/>
              <w:jc w:val="left"/>
            </w:pPr>
            <w:proofErr w:type="spellStart"/>
            <w:r>
              <w:rPr>
                <w:sz w:val="19"/>
                <w:szCs w:val="19"/>
              </w:rPr>
              <w:t>Μητέρες</w:t>
            </w:r>
            <w:proofErr w:type="spellEnd"/>
          </w:p>
        </w:tc>
      </w:tr>
      <w:tr w:rsidR="00E63D5B" w14:paraId="6C5F5AFE"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tcPr>
          <w:p w14:paraId="599A6C9D" w14:textId="77777777" w:rsidR="00E63D5B" w:rsidRDefault="001F059D">
            <w:pPr>
              <w:spacing w:after="40" w:line="240" w:lineRule="auto"/>
              <w:jc w:val="left"/>
            </w:pPr>
            <w:r>
              <w:rPr>
                <w:sz w:val="19"/>
                <w:szCs w:val="19"/>
              </w:rPr>
              <w:t>CEDV (Child Exposure to Domestic Violence)</w:t>
            </w:r>
          </w:p>
        </w:tc>
        <w:tc>
          <w:tcPr>
            <w:tcW w:w="3024" w:type="dxa"/>
            <w:tcBorders>
              <w:top w:val="single" w:sz="4" w:space="0" w:color="BFBFBF"/>
              <w:left w:val="single" w:sz="4" w:space="0" w:color="BFBFBF"/>
              <w:bottom w:val="single" w:sz="4" w:space="0" w:color="BFBFBF"/>
              <w:right w:val="single" w:sz="4" w:space="0" w:color="BFBFBF"/>
            </w:tcBorders>
          </w:tcPr>
          <w:p w14:paraId="1445B561" w14:textId="77777777" w:rsidR="00E63D5B" w:rsidRPr="00132066" w:rsidRDefault="001F059D">
            <w:pPr>
              <w:spacing w:after="40" w:line="240" w:lineRule="auto"/>
              <w:jc w:val="left"/>
              <w:rPr>
                <w:lang w:val="el-GR"/>
              </w:rPr>
            </w:pPr>
            <w:r>
              <w:rPr>
                <w:sz w:val="19"/>
                <w:szCs w:val="19"/>
                <w:lang w:val="el-GR"/>
              </w:rPr>
              <w:t xml:space="preserve">Την έκθεση του παιδιού στη βία από τη δική του οπτική: βία στο σπίτι, εμπλοκή του παιδιού, </w:t>
            </w:r>
            <w:proofErr w:type="spellStart"/>
            <w:r>
              <w:rPr>
                <w:sz w:val="19"/>
                <w:szCs w:val="19"/>
                <w:lang w:val="el-GR"/>
              </w:rPr>
              <w:t>θυματοποίηση</w:t>
            </w:r>
            <w:proofErr w:type="spellEnd"/>
            <w:r>
              <w:rPr>
                <w:sz w:val="19"/>
                <w:szCs w:val="19"/>
                <w:lang w:val="el-GR"/>
              </w:rPr>
              <w:t>, βία στην κοινότητα, παράγοντες κινδύνου</w:t>
            </w:r>
          </w:p>
        </w:tc>
        <w:tc>
          <w:tcPr>
            <w:tcW w:w="3024" w:type="dxa"/>
            <w:tcBorders>
              <w:top w:val="single" w:sz="4" w:space="0" w:color="BFBFBF"/>
              <w:left w:val="single" w:sz="4" w:space="0" w:color="BFBFBF"/>
              <w:bottom w:val="single" w:sz="4" w:space="0" w:color="BFBFBF"/>
              <w:right w:val="single" w:sz="4" w:space="0" w:color="BFBFBF"/>
            </w:tcBorders>
          </w:tcPr>
          <w:p w14:paraId="514C04C2" w14:textId="77777777" w:rsidR="00E63D5B" w:rsidRDefault="001F059D">
            <w:pPr>
              <w:spacing w:after="40" w:line="240" w:lineRule="auto"/>
              <w:jc w:val="left"/>
            </w:pPr>
            <w:proofErr w:type="spellStart"/>
            <w:r>
              <w:rPr>
                <w:sz w:val="19"/>
                <w:szCs w:val="19"/>
              </w:rPr>
              <w:t>Έφη</w:t>
            </w:r>
            <w:proofErr w:type="spellEnd"/>
            <w:r>
              <w:rPr>
                <w:sz w:val="19"/>
                <w:szCs w:val="19"/>
              </w:rPr>
              <w:t>βοι/ες</w:t>
            </w:r>
          </w:p>
        </w:tc>
      </w:tr>
      <w:tr w:rsidR="00E63D5B" w14:paraId="5C3D3684"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2132BE48" w14:textId="77777777" w:rsidR="00E63D5B" w:rsidRDefault="001F059D">
            <w:pPr>
              <w:spacing w:after="40" w:line="240" w:lineRule="auto"/>
              <w:jc w:val="left"/>
            </w:pPr>
            <w:r>
              <w:rPr>
                <w:sz w:val="19"/>
                <w:szCs w:val="19"/>
              </w:rPr>
              <w:t xml:space="preserve">CRIES-8 (Children's Revised Impact of Event </w:t>
            </w:r>
            <w:proofErr w:type="spellStart"/>
            <w:r>
              <w:rPr>
                <w:sz w:val="19"/>
                <w:szCs w:val="19"/>
              </w:rPr>
              <w:t>Scale·Perrin</w:t>
            </w:r>
            <w:proofErr w:type="spellEnd"/>
            <w:r>
              <w:rPr>
                <w:sz w:val="19"/>
                <w:szCs w:val="19"/>
              </w:rPr>
              <w:t xml:space="preserve"> et al., 2005·ελληνική π</w:t>
            </w:r>
            <w:proofErr w:type="spellStart"/>
            <w:r>
              <w:rPr>
                <w:sz w:val="19"/>
                <w:szCs w:val="19"/>
              </w:rPr>
              <w:t>ροσ</w:t>
            </w:r>
            <w:proofErr w:type="spellEnd"/>
            <w:r>
              <w:rPr>
                <w:sz w:val="19"/>
                <w:szCs w:val="19"/>
              </w:rPr>
              <w:t>αρμογή Giannopoulou et al., 2006)</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32BA9B4F" w14:textId="77777777" w:rsidR="00E63D5B" w:rsidRDefault="001F059D">
            <w:pPr>
              <w:spacing w:after="40" w:line="240" w:lineRule="auto"/>
              <w:jc w:val="left"/>
            </w:pPr>
            <w:r>
              <w:rPr>
                <w:sz w:val="19"/>
                <w:szCs w:val="19"/>
                <w:lang w:val="el-GR"/>
              </w:rPr>
              <w:t xml:space="preserve">Τα </w:t>
            </w:r>
            <w:proofErr w:type="spellStart"/>
            <w:r>
              <w:rPr>
                <w:sz w:val="19"/>
                <w:szCs w:val="19"/>
                <w:lang w:val="el-GR"/>
              </w:rPr>
              <w:t>μετατραυματικά</w:t>
            </w:r>
            <w:proofErr w:type="spellEnd"/>
            <w:r>
              <w:rPr>
                <w:sz w:val="19"/>
                <w:szCs w:val="19"/>
                <w:lang w:val="el-GR"/>
              </w:rPr>
              <w:t xml:space="preserve"> συμπτώματα του παιδιού (επανερχόμενες σκέψεις και αποφυγή). </w:t>
            </w:r>
            <w:r>
              <w:rPr>
                <w:sz w:val="19"/>
                <w:szCs w:val="19"/>
              </w:rPr>
              <w:t xml:space="preserve">8 </w:t>
            </w:r>
            <w:proofErr w:type="spellStart"/>
            <w:r>
              <w:rPr>
                <w:sz w:val="19"/>
                <w:szCs w:val="19"/>
              </w:rPr>
              <w:t>ερωτήσεις</w:t>
            </w:r>
            <w:proofErr w:type="spellEnd"/>
            <w:r>
              <w:rPr>
                <w:sz w:val="19"/>
                <w:szCs w:val="19"/>
              </w:rPr>
              <w:t>, 0–40</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3BE506A8" w14:textId="77777777" w:rsidR="00E63D5B" w:rsidRDefault="001F059D">
            <w:pPr>
              <w:spacing w:after="40" w:line="240" w:lineRule="auto"/>
              <w:jc w:val="left"/>
            </w:pPr>
            <w:proofErr w:type="spellStart"/>
            <w:r>
              <w:rPr>
                <w:sz w:val="19"/>
                <w:szCs w:val="19"/>
              </w:rPr>
              <w:t>Έφη</w:t>
            </w:r>
            <w:proofErr w:type="spellEnd"/>
            <w:r>
              <w:rPr>
                <w:sz w:val="19"/>
                <w:szCs w:val="19"/>
              </w:rPr>
              <w:t>βοι/ες</w:t>
            </w:r>
          </w:p>
        </w:tc>
      </w:tr>
    </w:tbl>
    <w:p w14:paraId="33615DD7" w14:textId="77777777" w:rsidR="00E63D5B" w:rsidRDefault="00E63D5B">
      <w:pPr>
        <w:spacing w:after="80"/>
      </w:pPr>
    </w:p>
    <w:p w14:paraId="3959CC8F" w14:textId="77777777" w:rsidR="00E63D5B" w:rsidRDefault="001F059D">
      <w:pPr>
        <w:pStyle w:val="3"/>
      </w:pPr>
      <w:proofErr w:type="spellStart"/>
      <w:r>
        <w:lastRenderedPageBreak/>
        <w:t>Δι</w:t>
      </w:r>
      <w:proofErr w:type="spellEnd"/>
      <w:r>
        <w:t xml:space="preserve">αδικασία και </w:t>
      </w:r>
      <w:proofErr w:type="spellStart"/>
      <w:r>
        <w:t>δεοντολογί</w:t>
      </w:r>
      <w:proofErr w:type="spellEnd"/>
      <w:r>
        <w:t>α</w:t>
      </w:r>
    </w:p>
    <w:p w14:paraId="4509606B" w14:textId="77777777" w:rsidR="00E63D5B" w:rsidRPr="00132066" w:rsidRDefault="001F059D">
      <w:pPr>
        <w:rPr>
          <w:lang w:val="el-GR"/>
        </w:rPr>
      </w:pPr>
      <w:r>
        <w:rPr>
          <w:lang w:val="el-GR"/>
        </w:rPr>
        <w:t>Πριν από τη συμπλήρωση, οι συμμετέχουσες ενημερώνονταν αναλυτικά μέσω φόρμας συγκατάθεσης για τον σκοπό της έρευνας, τον εθελοντικό χαρακτήρα, τη δυνατότητα αποχώρησης χωρίς συνέπειες και τη χρήση των δεδομένων αποκλειστικά για επιστημονικούς σκοπούς. Οι σύμβουλοι των δομών ενημέρωναν τις γυναίκες και διευκόλυναν τη συμπλήρωση, η οποία γινόταν μέσω ασφαλούς ηλεκτρονικής πλατφόρμας, ανώνυμα, χωρίς συλλογή ονομάτων ή στοιχείων επικοινωνίας. Η συμμετοχή ανηλίκων προϋπέθετε τη συναίνεση της μητέρας και τη σύμφωνη γνώμη του ίδιου του παιδιού. Τα δεδομένα αποθηκεύτηκαν σε προστατευμένη βάση με πρόσβαση μόνο των μελών της ερευνητικής ομάδας. Η έρευνα έλαβε έγκριση από την Επιτροπή Ερευνητικής Δεοντολογίας.</w:t>
      </w:r>
    </w:p>
    <w:p w14:paraId="13C4B3E1" w14:textId="77777777" w:rsidR="00E63D5B" w:rsidRPr="00132066" w:rsidRDefault="001F059D">
      <w:pPr>
        <w:pStyle w:val="3"/>
        <w:rPr>
          <w:lang w:val="el-GR"/>
        </w:rPr>
      </w:pPr>
      <w:r>
        <w:rPr>
          <w:lang w:val="el-GR"/>
        </w:rPr>
        <w:t>Στατιστική ανάλυση</w:t>
      </w:r>
    </w:p>
    <w:p w14:paraId="7C356B64" w14:textId="0F09A1CA" w:rsidR="00E63D5B" w:rsidRPr="00132066" w:rsidRDefault="001F059D">
      <w:pPr>
        <w:rPr>
          <w:lang w:val="el-GR"/>
        </w:rPr>
      </w:pPr>
      <w:r>
        <w:rPr>
          <w:lang w:val="el-GR"/>
        </w:rPr>
        <w:t xml:space="preserve">Η επεξεργασία έγινε με τα λογισμικά </w:t>
      </w:r>
      <w:r>
        <w:t>IBM</w:t>
      </w:r>
      <w:r>
        <w:rPr>
          <w:lang w:val="el-GR"/>
        </w:rPr>
        <w:t xml:space="preserve"> </w:t>
      </w:r>
      <w:r>
        <w:t>SPSS</w:t>
      </w:r>
      <w:r>
        <w:rPr>
          <w:lang w:val="el-GR"/>
        </w:rPr>
        <w:t xml:space="preserve"> και </w:t>
      </w:r>
      <w:r>
        <w:t>Stata</w:t>
      </w:r>
      <w:r>
        <w:rPr>
          <w:lang w:val="el-GR"/>
        </w:rPr>
        <w:t xml:space="preserve">. Χρησιμοποιήθηκαν περιγραφικές αναλύσεις για το προφίλ του δείγματος, συγκρίσεις ομάδων (έλεγχοι χ² για κατηγορικές μεταβλητές, </w:t>
      </w:r>
      <w:r>
        <w:t>t</w:t>
      </w:r>
      <w:r>
        <w:rPr>
          <w:lang w:val="el-GR"/>
        </w:rPr>
        <w:t>-</w:t>
      </w:r>
      <w:r>
        <w:t>tests</w:t>
      </w:r>
      <w:r>
        <w:rPr>
          <w:lang w:val="el-GR"/>
        </w:rPr>
        <w:t xml:space="preserve"> και ανάλυση διακύμανσης για συνεχείς), συσχετίσεις μεταξύ μεταβλητών και αναλύσεις διαμεσολάβησης (μακροεντολή </w:t>
      </w:r>
      <w:r>
        <w:t>PROCESS</w:t>
      </w:r>
      <w:r>
        <w:rPr>
          <w:lang w:val="el-GR"/>
        </w:rPr>
        <w:t>·</w:t>
      </w:r>
      <w:r>
        <w:t>Hayes</w:t>
      </w:r>
      <w:r>
        <w:rPr>
          <w:lang w:val="el-GR"/>
        </w:rPr>
        <w:t xml:space="preserve">, 2018), οι οποίες εξετάζουν αν η σχέση δύο μεταβλητών διέρχεται μέσω μιας τρίτης (π.χ. αν η βία συνδέεται με τη </w:t>
      </w:r>
      <w:proofErr w:type="spellStart"/>
      <w:r>
        <w:rPr>
          <w:lang w:val="el-GR"/>
        </w:rPr>
        <w:t>μετατραυματική</w:t>
      </w:r>
      <w:proofErr w:type="spellEnd"/>
      <w:r>
        <w:rPr>
          <w:lang w:val="el-GR"/>
        </w:rPr>
        <w:t xml:space="preserve"> ανάπτυξη μέσω του στρες). Τα μεγέθη επίδρασης ερμηνεύθηκαν σύμφωνα με τις κατευθυντήριες γραμμές του </w:t>
      </w:r>
      <w:r>
        <w:t>Cohen</w:t>
      </w:r>
      <w:r>
        <w:rPr>
          <w:lang w:val="el-GR"/>
        </w:rPr>
        <w:t xml:space="preserve"> (1988). Βασικός άξονας των συγκρίσεων ήταν η διάκριση των γυναικών σε δύο ομάδες: με και χωρίς πιθανή ΔΜΤΣ.</w:t>
      </w:r>
    </w:p>
    <w:p w14:paraId="2865E56C" w14:textId="77777777" w:rsidR="00E63D5B" w:rsidRPr="00132066" w:rsidRDefault="001F059D">
      <w:pPr>
        <w:pStyle w:val="20"/>
        <w:rPr>
          <w:lang w:val="el-GR"/>
        </w:rPr>
      </w:pPr>
      <w:bookmarkStart w:id="34" w:name="_Toc242134439"/>
      <w:r>
        <w:rPr>
          <w:lang w:val="el-GR"/>
        </w:rPr>
        <w:t>5.3 Η ποιοτική έρευνα</w:t>
      </w:r>
      <w:bookmarkEnd w:id="34"/>
      <w:r>
        <w:rPr>
          <w:lang w:val="el-GR"/>
        </w:rPr>
        <w:t xml:space="preserve"> </w:t>
      </w:r>
    </w:p>
    <w:p w14:paraId="681F3114" w14:textId="77777777" w:rsidR="00E63D5B" w:rsidRPr="00132066" w:rsidRDefault="001F059D">
      <w:pPr>
        <w:pStyle w:val="3"/>
        <w:rPr>
          <w:lang w:val="el-GR"/>
        </w:rPr>
      </w:pPr>
      <w:r>
        <w:rPr>
          <w:lang w:val="el-GR"/>
        </w:rPr>
        <w:t>Σχεδιασμός και δείγμα</w:t>
      </w:r>
    </w:p>
    <w:p w14:paraId="0FAACC19" w14:textId="77777777" w:rsidR="00E63D5B" w:rsidRPr="00132066" w:rsidRDefault="001F059D">
      <w:pPr>
        <w:rPr>
          <w:lang w:val="el-GR"/>
        </w:rPr>
      </w:pPr>
      <w:r>
        <w:rPr>
          <w:lang w:val="el-GR"/>
        </w:rPr>
        <w:t xml:space="preserve">Πραγματοποιήθηκαν 16 </w:t>
      </w:r>
      <w:proofErr w:type="spellStart"/>
      <w:r>
        <w:rPr>
          <w:lang w:val="el-GR"/>
        </w:rPr>
        <w:t>ημιδομημένες</w:t>
      </w:r>
      <w:proofErr w:type="spellEnd"/>
      <w:r>
        <w:rPr>
          <w:lang w:val="el-GR"/>
        </w:rPr>
        <w:t xml:space="preserve"> συνεντεύξεις με γυναίκες επιζώσες ενδοοικογενειακής βίας: 14 Ελληνίδες και 2 μετανάστριες, μία εκ των οποίων με τη βοήθεια διαπολιτισμικού διερμηνέα από εξειδικευμένο φορέα. Δεκαπέντε γυναίκες προσεγγίστηκαν μέσω των Συμβουλευτικών Κέντρων του ΚΕΘΙ στην Αττική και μία μέσω Μη Κυβερνητικής Οργάνωσης (ΜΚΟ), η οποία επίσης βρισκόταν σε σταθερή ψυχολογική υποστήριξη. Η μητρότητα δεν ήταν κριτήριο συμμετοχής.</w:t>
      </w:r>
    </w:p>
    <w:p w14:paraId="266489EA" w14:textId="753FEC7D" w:rsidR="00E63D5B" w:rsidRPr="00132066" w:rsidRDefault="001F059D">
      <w:pPr>
        <w:keepNext/>
        <w:spacing w:after="60"/>
        <w:jc w:val="left"/>
        <w:rPr>
          <w:lang w:val="el-GR"/>
        </w:rPr>
      </w:pPr>
      <w:r>
        <w:rPr>
          <w:b/>
          <w:bCs/>
          <w:color w:val="1D2B44"/>
          <w:sz w:val="20"/>
          <w:szCs w:val="20"/>
          <w:lang w:val="el-GR"/>
        </w:rPr>
        <w:t xml:space="preserve">Πίνακας </w:t>
      </w:r>
      <w:r w:rsidR="00EB7D96">
        <w:rPr>
          <w:b/>
          <w:bCs/>
          <w:color w:val="1D2B44"/>
          <w:sz w:val="20"/>
          <w:szCs w:val="20"/>
          <w:lang w:val="el-GR"/>
        </w:rPr>
        <w:t>4</w:t>
      </w:r>
      <w:r>
        <w:rPr>
          <w:b/>
          <w:bCs/>
          <w:color w:val="1D2B44"/>
          <w:sz w:val="20"/>
          <w:szCs w:val="20"/>
          <w:lang w:val="el-GR"/>
        </w:rPr>
        <w:t xml:space="preserve">. </w:t>
      </w:r>
      <w:r>
        <w:rPr>
          <w:i/>
          <w:iCs/>
          <w:color w:val="1D2B44"/>
          <w:sz w:val="20"/>
          <w:szCs w:val="20"/>
          <w:lang w:val="el-GR"/>
        </w:rPr>
        <w:t>Προφίλ των 16 συμμετεχουσών στην ποιοτική έρευνα</w:t>
      </w:r>
    </w:p>
    <w:tbl>
      <w:tblPr>
        <w:tblStyle w:val="aff7"/>
        <w:tblW w:w="9072" w:type="dxa"/>
        <w:jc w:val="center"/>
        <w:tblLayout w:type="fixed"/>
        <w:tblLook w:val="0400" w:firstRow="0" w:lastRow="0" w:firstColumn="0" w:lastColumn="0" w:noHBand="0" w:noVBand="1"/>
      </w:tblPr>
      <w:tblGrid>
        <w:gridCol w:w="4536"/>
        <w:gridCol w:w="4536"/>
      </w:tblGrid>
      <w:tr w:rsidR="00E63D5B" w14:paraId="0CE54FE6" w14:textId="77777777">
        <w:trPr>
          <w:cantSplit/>
          <w:tblHeader/>
          <w:jc w:val="center"/>
        </w:trPr>
        <w:tc>
          <w:tcPr>
            <w:tcW w:w="4536" w:type="dxa"/>
            <w:tcBorders>
              <w:top w:val="single" w:sz="4" w:space="0" w:color="BFBFBF"/>
              <w:left w:val="single" w:sz="4" w:space="0" w:color="BFBFBF"/>
              <w:bottom w:val="single" w:sz="4" w:space="0" w:color="BFBFBF"/>
              <w:right w:val="single" w:sz="4" w:space="0" w:color="BFBFBF"/>
            </w:tcBorders>
            <w:shd w:val="clear" w:color="auto" w:fill="4A6FA5"/>
          </w:tcPr>
          <w:p w14:paraId="7A0B9DA3" w14:textId="77777777" w:rsidR="00E63D5B" w:rsidRDefault="001F059D">
            <w:pPr>
              <w:spacing w:after="40" w:line="240" w:lineRule="auto"/>
              <w:jc w:val="left"/>
            </w:pPr>
            <w:r>
              <w:rPr>
                <w:b/>
                <w:bCs/>
                <w:color w:val="FFFFFF"/>
                <w:sz w:val="19"/>
                <w:szCs w:val="19"/>
              </w:rPr>
              <w:t>Χαρα</w:t>
            </w:r>
            <w:proofErr w:type="spellStart"/>
            <w:r>
              <w:rPr>
                <w:b/>
                <w:bCs/>
                <w:color w:val="FFFFFF"/>
                <w:sz w:val="19"/>
                <w:szCs w:val="19"/>
              </w:rPr>
              <w:t>κτηριστικό</w:t>
            </w:r>
            <w:proofErr w:type="spellEnd"/>
          </w:p>
        </w:tc>
        <w:tc>
          <w:tcPr>
            <w:tcW w:w="4536" w:type="dxa"/>
            <w:tcBorders>
              <w:top w:val="single" w:sz="4" w:space="0" w:color="BFBFBF"/>
              <w:left w:val="single" w:sz="4" w:space="0" w:color="BFBFBF"/>
              <w:bottom w:val="single" w:sz="4" w:space="0" w:color="BFBFBF"/>
              <w:right w:val="single" w:sz="4" w:space="0" w:color="BFBFBF"/>
            </w:tcBorders>
            <w:shd w:val="clear" w:color="auto" w:fill="4A6FA5"/>
          </w:tcPr>
          <w:p w14:paraId="2AAB68EF" w14:textId="77777777" w:rsidR="00E63D5B" w:rsidRDefault="001F059D">
            <w:pPr>
              <w:spacing w:after="40" w:line="240" w:lineRule="auto"/>
              <w:jc w:val="left"/>
            </w:pPr>
            <w:r>
              <w:rPr>
                <w:b/>
                <w:bCs/>
                <w:color w:val="FFFFFF"/>
                <w:sz w:val="19"/>
                <w:szCs w:val="19"/>
              </w:rPr>
              <w:t>Κατα</w:t>
            </w:r>
            <w:proofErr w:type="spellStart"/>
            <w:r>
              <w:rPr>
                <w:b/>
                <w:bCs/>
                <w:color w:val="FFFFFF"/>
                <w:sz w:val="19"/>
                <w:szCs w:val="19"/>
              </w:rPr>
              <w:t>νομή</w:t>
            </w:r>
            <w:proofErr w:type="spellEnd"/>
          </w:p>
        </w:tc>
      </w:tr>
      <w:tr w:rsidR="00E63D5B" w:rsidRPr="00D84B1E" w14:paraId="5809EAD6" w14:textId="77777777">
        <w:trPr>
          <w:cantSplit/>
          <w:jc w:val="center"/>
        </w:trPr>
        <w:tc>
          <w:tcPr>
            <w:tcW w:w="4536" w:type="dxa"/>
            <w:tcBorders>
              <w:top w:val="single" w:sz="4" w:space="0" w:color="BFBFBF"/>
              <w:left w:val="single" w:sz="4" w:space="0" w:color="BFBFBF"/>
              <w:bottom w:val="single" w:sz="4" w:space="0" w:color="BFBFBF"/>
              <w:right w:val="single" w:sz="4" w:space="0" w:color="BFBFBF"/>
            </w:tcBorders>
          </w:tcPr>
          <w:p w14:paraId="5436F170" w14:textId="77777777" w:rsidR="00E63D5B" w:rsidRDefault="001F059D">
            <w:pPr>
              <w:spacing w:after="40" w:line="240" w:lineRule="auto"/>
              <w:jc w:val="left"/>
            </w:pPr>
            <w:proofErr w:type="spellStart"/>
            <w:r>
              <w:rPr>
                <w:sz w:val="19"/>
                <w:szCs w:val="19"/>
              </w:rPr>
              <w:t>Ηλικί</w:t>
            </w:r>
            <w:proofErr w:type="spellEnd"/>
            <w:r>
              <w:rPr>
                <w:sz w:val="19"/>
                <w:szCs w:val="19"/>
              </w:rPr>
              <w:t>α</w:t>
            </w:r>
          </w:p>
        </w:tc>
        <w:tc>
          <w:tcPr>
            <w:tcW w:w="4536" w:type="dxa"/>
            <w:tcBorders>
              <w:top w:val="single" w:sz="4" w:space="0" w:color="BFBFBF"/>
              <w:left w:val="single" w:sz="4" w:space="0" w:color="BFBFBF"/>
              <w:bottom w:val="single" w:sz="4" w:space="0" w:color="BFBFBF"/>
              <w:right w:val="single" w:sz="4" w:space="0" w:color="BFBFBF"/>
            </w:tcBorders>
          </w:tcPr>
          <w:p w14:paraId="5AD92915" w14:textId="77777777" w:rsidR="00E63D5B" w:rsidRPr="00132066" w:rsidRDefault="001F059D">
            <w:pPr>
              <w:spacing w:after="40" w:line="240" w:lineRule="auto"/>
              <w:jc w:val="left"/>
              <w:rPr>
                <w:lang w:val="el-GR"/>
              </w:rPr>
            </w:pPr>
            <w:r>
              <w:rPr>
                <w:sz w:val="19"/>
                <w:szCs w:val="19"/>
                <w:lang w:val="el-GR"/>
              </w:rPr>
              <w:t xml:space="preserve">Από 22 έως 72 </w:t>
            </w:r>
            <w:proofErr w:type="spellStart"/>
            <w:r>
              <w:rPr>
                <w:sz w:val="19"/>
                <w:szCs w:val="19"/>
                <w:lang w:val="el-GR"/>
              </w:rPr>
              <w:t>ετών·οι</w:t>
            </w:r>
            <w:proofErr w:type="spellEnd"/>
            <w:r>
              <w:rPr>
                <w:sz w:val="19"/>
                <w:szCs w:val="19"/>
                <w:lang w:val="el-GR"/>
              </w:rPr>
              <w:t xml:space="preserve"> περισσότερες 39–50 ετών</w:t>
            </w:r>
          </w:p>
        </w:tc>
      </w:tr>
      <w:tr w:rsidR="00E63D5B" w:rsidRPr="00D84B1E" w14:paraId="501B132E" w14:textId="77777777">
        <w:trPr>
          <w:cantSplit/>
          <w:jc w:val="center"/>
        </w:trPr>
        <w:tc>
          <w:tcPr>
            <w:tcW w:w="4536" w:type="dxa"/>
            <w:tcBorders>
              <w:top w:val="single" w:sz="4" w:space="0" w:color="BFBFBF"/>
              <w:left w:val="single" w:sz="4" w:space="0" w:color="BFBFBF"/>
              <w:bottom w:val="single" w:sz="4" w:space="0" w:color="BFBFBF"/>
              <w:right w:val="single" w:sz="4" w:space="0" w:color="BFBFBF"/>
            </w:tcBorders>
            <w:shd w:val="clear" w:color="auto" w:fill="F3F6FA"/>
          </w:tcPr>
          <w:p w14:paraId="0F82F647" w14:textId="77777777" w:rsidR="00E63D5B" w:rsidRDefault="001F059D">
            <w:pPr>
              <w:spacing w:after="40" w:line="240" w:lineRule="auto"/>
              <w:jc w:val="left"/>
            </w:pPr>
            <w:proofErr w:type="spellStart"/>
            <w:r>
              <w:rPr>
                <w:sz w:val="19"/>
                <w:szCs w:val="19"/>
              </w:rPr>
              <w:t>Εκ</w:t>
            </w:r>
            <w:proofErr w:type="spellEnd"/>
            <w:r>
              <w:rPr>
                <w:sz w:val="19"/>
                <w:szCs w:val="19"/>
              </w:rPr>
              <w:t>παίδευση</w:t>
            </w:r>
          </w:p>
        </w:tc>
        <w:tc>
          <w:tcPr>
            <w:tcW w:w="4536" w:type="dxa"/>
            <w:tcBorders>
              <w:top w:val="single" w:sz="4" w:space="0" w:color="BFBFBF"/>
              <w:left w:val="single" w:sz="4" w:space="0" w:color="BFBFBF"/>
              <w:bottom w:val="single" w:sz="4" w:space="0" w:color="BFBFBF"/>
              <w:right w:val="single" w:sz="4" w:space="0" w:color="BFBFBF"/>
            </w:tcBorders>
            <w:shd w:val="clear" w:color="auto" w:fill="F3F6FA"/>
          </w:tcPr>
          <w:p w14:paraId="2E2EAFCD" w14:textId="77777777" w:rsidR="00E63D5B" w:rsidRPr="00132066" w:rsidRDefault="001F059D">
            <w:pPr>
              <w:spacing w:after="40" w:line="240" w:lineRule="auto"/>
              <w:jc w:val="left"/>
              <w:rPr>
                <w:lang w:val="el-GR"/>
              </w:rPr>
            </w:pPr>
            <w:r>
              <w:rPr>
                <w:sz w:val="19"/>
                <w:szCs w:val="19"/>
                <w:lang w:val="el-GR"/>
              </w:rPr>
              <w:t>7 απόφοιτες πανεπιστημίου (και 1 φοιτήτρια), 6 απόφοιτες λυκείου, 3 απόφοιτες ΙΕΚ</w:t>
            </w:r>
          </w:p>
        </w:tc>
      </w:tr>
      <w:tr w:rsidR="00E63D5B" w14:paraId="7EA7A517" w14:textId="77777777">
        <w:trPr>
          <w:cantSplit/>
          <w:jc w:val="center"/>
        </w:trPr>
        <w:tc>
          <w:tcPr>
            <w:tcW w:w="4536" w:type="dxa"/>
            <w:tcBorders>
              <w:top w:val="single" w:sz="4" w:space="0" w:color="BFBFBF"/>
              <w:left w:val="single" w:sz="4" w:space="0" w:color="BFBFBF"/>
              <w:bottom w:val="single" w:sz="4" w:space="0" w:color="BFBFBF"/>
              <w:right w:val="single" w:sz="4" w:space="0" w:color="BFBFBF"/>
            </w:tcBorders>
          </w:tcPr>
          <w:p w14:paraId="39BB9F08" w14:textId="77777777" w:rsidR="00E63D5B" w:rsidRDefault="001F059D">
            <w:pPr>
              <w:spacing w:after="40" w:line="240" w:lineRule="auto"/>
              <w:jc w:val="left"/>
            </w:pPr>
            <w:proofErr w:type="spellStart"/>
            <w:r>
              <w:rPr>
                <w:sz w:val="19"/>
                <w:szCs w:val="19"/>
              </w:rPr>
              <w:t>Εργ</w:t>
            </w:r>
            <w:proofErr w:type="spellEnd"/>
            <w:r>
              <w:rPr>
                <w:sz w:val="19"/>
                <w:szCs w:val="19"/>
              </w:rPr>
              <w:t>ασία</w:t>
            </w:r>
          </w:p>
        </w:tc>
        <w:tc>
          <w:tcPr>
            <w:tcW w:w="4536" w:type="dxa"/>
            <w:tcBorders>
              <w:top w:val="single" w:sz="4" w:space="0" w:color="BFBFBF"/>
              <w:left w:val="single" w:sz="4" w:space="0" w:color="BFBFBF"/>
              <w:bottom w:val="single" w:sz="4" w:space="0" w:color="BFBFBF"/>
              <w:right w:val="single" w:sz="4" w:space="0" w:color="BFBFBF"/>
            </w:tcBorders>
          </w:tcPr>
          <w:p w14:paraId="6DD0CF25" w14:textId="77777777" w:rsidR="00E63D5B" w:rsidRDefault="001F059D">
            <w:pPr>
              <w:spacing w:after="40" w:line="240" w:lineRule="auto"/>
              <w:jc w:val="left"/>
            </w:pPr>
            <w:r>
              <w:rPr>
                <w:sz w:val="19"/>
                <w:szCs w:val="19"/>
              </w:rPr>
              <w:t xml:space="preserve">8 </w:t>
            </w:r>
            <w:proofErr w:type="spellStart"/>
            <w:r>
              <w:rPr>
                <w:sz w:val="19"/>
                <w:szCs w:val="19"/>
              </w:rPr>
              <w:t>εργ</w:t>
            </w:r>
            <w:proofErr w:type="spellEnd"/>
            <w:r>
              <w:rPr>
                <w:sz w:val="19"/>
                <w:szCs w:val="19"/>
              </w:rPr>
              <w:t xml:space="preserve">αζόμενες, 8 </w:t>
            </w:r>
            <w:proofErr w:type="spellStart"/>
            <w:r>
              <w:rPr>
                <w:sz w:val="19"/>
                <w:szCs w:val="19"/>
              </w:rPr>
              <w:t>άνεργες</w:t>
            </w:r>
            <w:proofErr w:type="spellEnd"/>
          </w:p>
        </w:tc>
      </w:tr>
      <w:tr w:rsidR="00E63D5B" w:rsidRPr="00D84B1E" w14:paraId="324CBB55" w14:textId="77777777">
        <w:trPr>
          <w:cantSplit/>
          <w:jc w:val="center"/>
        </w:trPr>
        <w:tc>
          <w:tcPr>
            <w:tcW w:w="4536" w:type="dxa"/>
            <w:tcBorders>
              <w:top w:val="single" w:sz="4" w:space="0" w:color="BFBFBF"/>
              <w:left w:val="single" w:sz="4" w:space="0" w:color="BFBFBF"/>
              <w:bottom w:val="single" w:sz="4" w:space="0" w:color="BFBFBF"/>
              <w:right w:val="single" w:sz="4" w:space="0" w:color="BFBFBF"/>
            </w:tcBorders>
            <w:shd w:val="clear" w:color="auto" w:fill="F3F6FA"/>
          </w:tcPr>
          <w:p w14:paraId="00755DDE" w14:textId="77777777" w:rsidR="00E63D5B" w:rsidRDefault="001F059D">
            <w:pPr>
              <w:spacing w:after="40" w:line="240" w:lineRule="auto"/>
              <w:jc w:val="left"/>
            </w:pPr>
            <w:proofErr w:type="spellStart"/>
            <w:r>
              <w:rPr>
                <w:sz w:val="19"/>
                <w:szCs w:val="19"/>
              </w:rPr>
              <w:t>Οικογενει</w:t>
            </w:r>
            <w:proofErr w:type="spellEnd"/>
            <w:r>
              <w:rPr>
                <w:sz w:val="19"/>
                <w:szCs w:val="19"/>
              </w:rPr>
              <w:t>ακή κα</w:t>
            </w:r>
            <w:proofErr w:type="spellStart"/>
            <w:r>
              <w:rPr>
                <w:sz w:val="19"/>
                <w:szCs w:val="19"/>
              </w:rPr>
              <w:t>τάστ</w:t>
            </w:r>
            <w:proofErr w:type="spellEnd"/>
            <w:r>
              <w:rPr>
                <w:sz w:val="19"/>
                <w:szCs w:val="19"/>
              </w:rPr>
              <w:t>αση</w:t>
            </w:r>
          </w:p>
        </w:tc>
        <w:tc>
          <w:tcPr>
            <w:tcW w:w="4536" w:type="dxa"/>
            <w:tcBorders>
              <w:top w:val="single" w:sz="4" w:space="0" w:color="BFBFBF"/>
              <w:left w:val="single" w:sz="4" w:space="0" w:color="BFBFBF"/>
              <w:bottom w:val="single" w:sz="4" w:space="0" w:color="BFBFBF"/>
              <w:right w:val="single" w:sz="4" w:space="0" w:color="BFBFBF"/>
            </w:tcBorders>
            <w:shd w:val="clear" w:color="auto" w:fill="F3F6FA"/>
          </w:tcPr>
          <w:p w14:paraId="319EC087" w14:textId="77777777" w:rsidR="00E63D5B" w:rsidRPr="00132066" w:rsidRDefault="001F059D">
            <w:pPr>
              <w:spacing w:after="40" w:line="240" w:lineRule="auto"/>
              <w:jc w:val="left"/>
              <w:rPr>
                <w:lang w:val="el-GR"/>
              </w:rPr>
            </w:pPr>
            <w:r>
              <w:rPr>
                <w:sz w:val="19"/>
                <w:szCs w:val="19"/>
                <w:lang w:val="el-GR"/>
              </w:rPr>
              <w:t>4 διαζευγμένες, 5 σε διάσταση, 3 έγγαμες, 2 άγαμες, 1 σε συντροφική σχέση, 1 χήρα</w:t>
            </w:r>
          </w:p>
        </w:tc>
      </w:tr>
      <w:tr w:rsidR="00E63D5B" w14:paraId="20D59D0D" w14:textId="77777777">
        <w:trPr>
          <w:cantSplit/>
          <w:jc w:val="center"/>
        </w:trPr>
        <w:tc>
          <w:tcPr>
            <w:tcW w:w="4536" w:type="dxa"/>
            <w:tcBorders>
              <w:top w:val="single" w:sz="4" w:space="0" w:color="BFBFBF"/>
              <w:left w:val="single" w:sz="4" w:space="0" w:color="BFBFBF"/>
              <w:bottom w:val="single" w:sz="4" w:space="0" w:color="BFBFBF"/>
              <w:right w:val="single" w:sz="4" w:space="0" w:color="BFBFBF"/>
            </w:tcBorders>
          </w:tcPr>
          <w:p w14:paraId="44BB8B60" w14:textId="77777777" w:rsidR="00E63D5B" w:rsidRDefault="001F059D">
            <w:pPr>
              <w:spacing w:after="40" w:line="240" w:lineRule="auto"/>
              <w:jc w:val="left"/>
            </w:pPr>
            <w:r>
              <w:rPr>
                <w:sz w:val="19"/>
                <w:szCs w:val="19"/>
              </w:rPr>
              <w:t>Πα</w:t>
            </w:r>
            <w:proofErr w:type="spellStart"/>
            <w:r>
              <w:rPr>
                <w:sz w:val="19"/>
                <w:szCs w:val="19"/>
              </w:rPr>
              <w:t>ιδιά</w:t>
            </w:r>
            <w:proofErr w:type="spellEnd"/>
          </w:p>
        </w:tc>
        <w:tc>
          <w:tcPr>
            <w:tcW w:w="4536" w:type="dxa"/>
            <w:tcBorders>
              <w:top w:val="single" w:sz="4" w:space="0" w:color="BFBFBF"/>
              <w:left w:val="single" w:sz="4" w:space="0" w:color="BFBFBF"/>
              <w:bottom w:val="single" w:sz="4" w:space="0" w:color="BFBFBF"/>
              <w:right w:val="single" w:sz="4" w:space="0" w:color="BFBFBF"/>
            </w:tcBorders>
          </w:tcPr>
          <w:p w14:paraId="69DEBBC0" w14:textId="77777777" w:rsidR="00E63D5B" w:rsidRDefault="001F059D">
            <w:pPr>
              <w:spacing w:after="40" w:line="240" w:lineRule="auto"/>
              <w:jc w:val="left"/>
            </w:pPr>
            <w:r>
              <w:rPr>
                <w:sz w:val="19"/>
                <w:szCs w:val="19"/>
              </w:rPr>
              <w:t xml:space="preserve">13 </w:t>
            </w:r>
            <w:proofErr w:type="spellStart"/>
            <w:r>
              <w:rPr>
                <w:sz w:val="19"/>
                <w:szCs w:val="19"/>
              </w:rPr>
              <w:t>μητέρες</w:t>
            </w:r>
            <w:proofErr w:type="spellEnd"/>
            <w:r>
              <w:rPr>
                <w:sz w:val="19"/>
                <w:szCs w:val="19"/>
              </w:rPr>
              <w:t xml:space="preserve">, 3 </w:t>
            </w:r>
            <w:proofErr w:type="spellStart"/>
            <w:r>
              <w:rPr>
                <w:sz w:val="19"/>
                <w:szCs w:val="19"/>
              </w:rPr>
              <w:t>χωρίς</w:t>
            </w:r>
            <w:proofErr w:type="spellEnd"/>
            <w:r>
              <w:rPr>
                <w:sz w:val="19"/>
                <w:szCs w:val="19"/>
              </w:rPr>
              <w:t xml:space="preserve"> πα</w:t>
            </w:r>
            <w:proofErr w:type="spellStart"/>
            <w:r>
              <w:rPr>
                <w:sz w:val="19"/>
                <w:szCs w:val="19"/>
              </w:rPr>
              <w:t>ιδιά</w:t>
            </w:r>
            <w:proofErr w:type="spellEnd"/>
          </w:p>
        </w:tc>
      </w:tr>
      <w:tr w:rsidR="00E63D5B" w14:paraId="68BC73AE" w14:textId="77777777">
        <w:trPr>
          <w:cantSplit/>
          <w:jc w:val="center"/>
        </w:trPr>
        <w:tc>
          <w:tcPr>
            <w:tcW w:w="4536" w:type="dxa"/>
            <w:tcBorders>
              <w:top w:val="single" w:sz="4" w:space="0" w:color="BFBFBF"/>
              <w:left w:val="single" w:sz="4" w:space="0" w:color="BFBFBF"/>
              <w:bottom w:val="single" w:sz="4" w:space="0" w:color="BFBFBF"/>
              <w:right w:val="single" w:sz="4" w:space="0" w:color="BFBFBF"/>
            </w:tcBorders>
            <w:shd w:val="clear" w:color="auto" w:fill="F3F6FA"/>
          </w:tcPr>
          <w:p w14:paraId="3DF6CF91" w14:textId="77777777" w:rsidR="00E63D5B" w:rsidRDefault="001F059D">
            <w:pPr>
              <w:spacing w:after="40" w:line="240" w:lineRule="auto"/>
              <w:jc w:val="left"/>
            </w:pPr>
            <w:r>
              <w:rPr>
                <w:sz w:val="19"/>
                <w:szCs w:val="19"/>
              </w:rPr>
              <w:t>Κατα</w:t>
            </w:r>
            <w:proofErr w:type="spellStart"/>
            <w:r>
              <w:rPr>
                <w:sz w:val="19"/>
                <w:szCs w:val="19"/>
              </w:rPr>
              <w:t>γωγή</w:t>
            </w:r>
            <w:proofErr w:type="spellEnd"/>
          </w:p>
        </w:tc>
        <w:tc>
          <w:tcPr>
            <w:tcW w:w="4536" w:type="dxa"/>
            <w:tcBorders>
              <w:top w:val="single" w:sz="4" w:space="0" w:color="BFBFBF"/>
              <w:left w:val="single" w:sz="4" w:space="0" w:color="BFBFBF"/>
              <w:bottom w:val="single" w:sz="4" w:space="0" w:color="BFBFBF"/>
              <w:right w:val="single" w:sz="4" w:space="0" w:color="BFBFBF"/>
            </w:tcBorders>
            <w:shd w:val="clear" w:color="auto" w:fill="F3F6FA"/>
          </w:tcPr>
          <w:p w14:paraId="4085D155" w14:textId="77777777" w:rsidR="00E63D5B" w:rsidRDefault="001F059D">
            <w:pPr>
              <w:spacing w:after="40" w:line="240" w:lineRule="auto"/>
              <w:jc w:val="left"/>
            </w:pPr>
            <w:r>
              <w:rPr>
                <w:sz w:val="19"/>
                <w:szCs w:val="19"/>
              </w:rPr>
              <w:t xml:space="preserve">14 </w:t>
            </w:r>
            <w:proofErr w:type="spellStart"/>
            <w:r>
              <w:rPr>
                <w:sz w:val="19"/>
                <w:szCs w:val="19"/>
              </w:rPr>
              <w:t>Ελληνίδες</w:t>
            </w:r>
            <w:proofErr w:type="spellEnd"/>
            <w:r>
              <w:rPr>
                <w:sz w:val="19"/>
                <w:szCs w:val="19"/>
              </w:rPr>
              <w:t xml:space="preserve">, 2 </w:t>
            </w:r>
            <w:proofErr w:type="spellStart"/>
            <w:r>
              <w:rPr>
                <w:sz w:val="19"/>
                <w:szCs w:val="19"/>
              </w:rPr>
              <w:t>μετ</w:t>
            </w:r>
            <w:proofErr w:type="spellEnd"/>
            <w:r>
              <w:rPr>
                <w:sz w:val="19"/>
                <w:szCs w:val="19"/>
              </w:rPr>
              <w:t>ανάστριες</w:t>
            </w:r>
          </w:p>
        </w:tc>
      </w:tr>
    </w:tbl>
    <w:p w14:paraId="20AED732" w14:textId="77777777" w:rsidR="00E63D5B" w:rsidRDefault="00E63D5B">
      <w:pPr>
        <w:spacing w:after="80"/>
      </w:pPr>
    </w:p>
    <w:p w14:paraId="6E824BBD" w14:textId="77777777" w:rsidR="00E63D5B" w:rsidRPr="00132066" w:rsidRDefault="001F059D">
      <w:pPr>
        <w:rPr>
          <w:lang w:val="el-GR"/>
        </w:rPr>
      </w:pPr>
      <w:r>
        <w:rPr>
          <w:lang w:val="el-GR"/>
        </w:rPr>
        <w:t xml:space="preserve">Ο οδηγός συνέντευξης διαμορφώθηκε με βάση τη βιβλιογραφία και την κλινική εμπειρία της ομάδας και κάλυπτε: την εμπειρία και τη </w:t>
      </w:r>
      <w:proofErr w:type="spellStart"/>
      <w:r>
        <w:rPr>
          <w:lang w:val="el-GR"/>
        </w:rPr>
        <w:t>νοηματοδότηση</w:t>
      </w:r>
      <w:proofErr w:type="spellEnd"/>
      <w:r>
        <w:rPr>
          <w:lang w:val="el-GR"/>
        </w:rPr>
        <w:t xml:space="preserve"> της βίας, τις επιπτώσεις στη γυναίκα και στα παιδιά της, τις στρατηγικές αντιμετώπισης, την αναζήτηση βοήθειας, τη </w:t>
      </w:r>
      <w:proofErr w:type="spellStart"/>
      <w:r>
        <w:rPr>
          <w:lang w:val="el-GR"/>
        </w:rPr>
        <w:t>διαγενεακή</w:t>
      </w:r>
      <w:proofErr w:type="spellEnd"/>
      <w:r>
        <w:rPr>
          <w:lang w:val="el-GR"/>
        </w:rPr>
        <w:t xml:space="preserve"> διάσταση και τις προτάσεις των ίδιων των γυναικών. Οι ερωτήσεις δεν ακολουθούσαν αυστηρή σειρά, ώστε να ενθαρρύνεται η ελεύθερη αφήγηση (Σταλίκας, 2005·</w:t>
      </w:r>
      <w:r>
        <w:t>Willig</w:t>
      </w:r>
      <w:r>
        <w:rPr>
          <w:lang w:val="el-GR"/>
        </w:rPr>
        <w:t>, 2003).</w:t>
      </w:r>
    </w:p>
    <w:p w14:paraId="17A082CE" w14:textId="77777777" w:rsidR="00E63D5B" w:rsidRPr="00132066" w:rsidRDefault="001F059D">
      <w:pPr>
        <w:pStyle w:val="3"/>
        <w:rPr>
          <w:lang w:val="el-GR"/>
        </w:rPr>
      </w:pPr>
      <w:r>
        <w:rPr>
          <w:lang w:val="el-GR"/>
        </w:rPr>
        <w:lastRenderedPageBreak/>
        <w:t>Διαδικασία και δεοντολογία</w:t>
      </w:r>
    </w:p>
    <w:p w14:paraId="03C6D71B" w14:textId="77777777" w:rsidR="00E63D5B" w:rsidRPr="00132066" w:rsidRDefault="001F059D">
      <w:pPr>
        <w:rPr>
          <w:lang w:val="el-GR"/>
        </w:rPr>
      </w:pPr>
      <w:r>
        <w:rPr>
          <w:lang w:val="el-GR"/>
        </w:rPr>
        <w:t>Οι γυναίκες ενημερώθηκαν πρώτα από τους/τις ψυχολόγους των Συμβουλευτικών Κέντρων και στη συνέχεια τηλεφωνικά από την ερευνήτρια-</w:t>
      </w:r>
      <w:proofErr w:type="spellStart"/>
      <w:r>
        <w:rPr>
          <w:lang w:val="el-GR"/>
        </w:rPr>
        <w:t>συνεντεύκτρια</w:t>
      </w:r>
      <w:proofErr w:type="spellEnd"/>
      <w:r>
        <w:rPr>
          <w:lang w:val="el-GR"/>
        </w:rPr>
        <w:t>. Οι συνεντεύξεις έγιναν σε ασφαλές, ήσυχο γραφείο στα κεντρικά του ΚΕΘΙ, από επαγγελματία ψυχολόγο, με πρόβλεψη διακοπής και άμεσης παραπομπής στον/στη σύμβουλο του Κέντρου σε περίπτωση έντονης φόρτισης. Επισημάνθηκε το δικαίωμα να μην απαντηθεί οποιαδήποτε ερώτηση ή να διακοπεί η συνέντευξη. Δεν δόθηκε οικονομικό κίνητρο, μόνο συμβολική κάλυψη εξόδων μετακίνησης. Οι συνεντεύξεις ηχογραφήθηκαν με γραπτή συγκατάθεση, απομαγνητοφωνήθηκαν με λογισμικό και ελέγχθηκαν δύο φορές από μέλη της ομάδας με παράλληλη ακρόαση για την εξασφάλιση της αυτολεξεί καταγραφής. Οι απομαγνητοφωνήσεις είναι κατατεθειμένες στα γραφεία του ΚΕΘΙ.</w:t>
      </w:r>
    </w:p>
    <w:p w14:paraId="7E36D81C" w14:textId="77777777" w:rsidR="00E63D5B" w:rsidRPr="00132066" w:rsidRDefault="001F059D">
      <w:pPr>
        <w:pStyle w:val="3"/>
        <w:rPr>
          <w:lang w:val="el-GR"/>
        </w:rPr>
      </w:pPr>
      <w:r>
        <w:rPr>
          <w:lang w:val="el-GR"/>
        </w:rPr>
        <w:t xml:space="preserve">Η μέθοδος ανάλυσης: </w:t>
      </w:r>
      <w:proofErr w:type="spellStart"/>
      <w:r>
        <w:rPr>
          <w:lang w:val="el-GR"/>
        </w:rPr>
        <w:t>αναστοχαστική</w:t>
      </w:r>
      <w:proofErr w:type="spellEnd"/>
      <w:r>
        <w:rPr>
          <w:lang w:val="el-GR"/>
        </w:rPr>
        <w:t xml:space="preserve"> θεματική ανάλυση</w:t>
      </w:r>
    </w:p>
    <w:p w14:paraId="190D97F2" w14:textId="77777777" w:rsidR="00E63D5B" w:rsidRPr="00132066" w:rsidRDefault="001F059D">
      <w:pPr>
        <w:rPr>
          <w:lang w:val="el-GR"/>
        </w:rPr>
      </w:pPr>
      <w:r>
        <w:rPr>
          <w:lang w:val="el-GR"/>
        </w:rPr>
        <w:t xml:space="preserve">Το υλικό αναλύθηκε με την </w:t>
      </w:r>
      <w:proofErr w:type="spellStart"/>
      <w:r>
        <w:rPr>
          <w:lang w:val="el-GR"/>
        </w:rPr>
        <w:t>αναστοχαστική</w:t>
      </w:r>
      <w:proofErr w:type="spellEnd"/>
      <w:r>
        <w:rPr>
          <w:lang w:val="el-GR"/>
        </w:rPr>
        <w:t xml:space="preserve"> θεματική ανάλυση των </w:t>
      </w:r>
      <w:r>
        <w:t>Braun</w:t>
      </w:r>
      <w:r>
        <w:rPr>
          <w:lang w:val="el-GR"/>
        </w:rPr>
        <w:t xml:space="preserve"> και </w:t>
      </w:r>
      <w:r>
        <w:t>Clarke</w:t>
      </w:r>
      <w:r>
        <w:rPr>
          <w:lang w:val="el-GR"/>
        </w:rPr>
        <w:t xml:space="preserve"> (2006, 2022). Η μέθοδος αναζητά στις αφηγήσεις επαναλαμβανόμενα μοτίβα νοήματος («θέματα») και τα ερμηνεύει. Λέγεται «</w:t>
      </w:r>
      <w:proofErr w:type="spellStart"/>
      <w:r>
        <w:rPr>
          <w:lang w:val="el-GR"/>
        </w:rPr>
        <w:t>αναστοχαστική</w:t>
      </w:r>
      <w:proofErr w:type="spellEnd"/>
      <w:r>
        <w:rPr>
          <w:lang w:val="el-GR"/>
        </w:rPr>
        <w:t>» επειδή αναγνωρίζει ότι οι ερευνήτριες δεν είναι ουδέτερες παρατηρήτριες: τα θέματα δεν «αναδύονται» μόνα τους από τα δεδομένα, αλλά κατασκευάζονται μέσα από τη συστηματική και θεωρητικά ενημερωμένη ανάγνωση του υλικού. Γι' αυτό η μέθοδος απαιτεί από την ερευνητική ομάδα να καταγράφει και να εξετάζει κριτικά τις δικές της παραδοχές (</w:t>
      </w:r>
      <w:r>
        <w:t>Mason</w:t>
      </w:r>
      <w:r>
        <w:rPr>
          <w:lang w:val="el-GR"/>
        </w:rPr>
        <w:t>, 2003·</w:t>
      </w:r>
      <w:r>
        <w:t>Willig</w:t>
      </w:r>
      <w:r>
        <w:rPr>
          <w:lang w:val="el-GR"/>
        </w:rPr>
        <w:t>, 2003).</w:t>
      </w:r>
    </w:p>
    <w:p w14:paraId="398AD670" w14:textId="77777777" w:rsidR="00E63D5B" w:rsidRPr="00132066" w:rsidRDefault="001F059D">
      <w:pPr>
        <w:rPr>
          <w:lang w:val="el-GR"/>
        </w:rPr>
      </w:pPr>
      <w:r>
        <w:rPr>
          <w:lang w:val="el-GR"/>
        </w:rPr>
        <w:t xml:space="preserve">Η ανάλυση κινήθηκε σε δύο επίπεδα: στο σημασιολογικό (τι λένε ρητά οι γυναίκες: μορφές βίας, επιπτώσεις, εμπόδια αποχώρησης, εμπειρίες με τις υπηρεσίες) και στο λανθάνον (ποιες παραδοχές, κοινωνικές νόρμες και σχέσεις ισχύος οργανώνουν αυτές τις εμπειρίες, π.χ. η </w:t>
      </w:r>
      <w:proofErr w:type="spellStart"/>
      <w:r>
        <w:rPr>
          <w:lang w:val="el-GR"/>
        </w:rPr>
        <w:t>κανονικοποίηση</w:t>
      </w:r>
      <w:proofErr w:type="spellEnd"/>
      <w:r>
        <w:rPr>
          <w:lang w:val="el-GR"/>
        </w:rPr>
        <w:t xml:space="preserve"> της ανδρικής κυριαρχίας ή η μητρική </w:t>
      </w:r>
      <w:proofErr w:type="spellStart"/>
      <w:r>
        <w:rPr>
          <w:lang w:val="el-GR"/>
        </w:rPr>
        <w:t>υπερευθύνη</w:t>
      </w:r>
      <w:proofErr w:type="spellEnd"/>
      <w:r>
        <w:rPr>
          <w:lang w:val="el-GR"/>
        </w:rPr>
        <w:t>). Η ερμηνεία στηρίχθηκε σε φεμινιστικές, διαθεματικές (</w:t>
      </w:r>
      <w:r>
        <w:t>Crenshaw</w:t>
      </w:r>
      <w:r>
        <w:rPr>
          <w:lang w:val="el-GR"/>
        </w:rPr>
        <w:t>, 1991), σχεσιακές και ενήμερες ως προς το τραύμα θεωρητικές προσεγγίσεις.</w:t>
      </w:r>
    </w:p>
    <w:p w14:paraId="1E515105" w14:textId="77777777" w:rsidR="00E63D5B" w:rsidRPr="00132066" w:rsidRDefault="001F059D">
      <w:pPr>
        <w:rPr>
          <w:lang w:val="el-GR"/>
        </w:rPr>
      </w:pPr>
      <w:r>
        <w:rPr>
          <w:lang w:val="el-GR"/>
        </w:rPr>
        <w:t xml:space="preserve">Η διαδικασία οργανώθηκε </w:t>
      </w:r>
      <w:r>
        <w:rPr>
          <w:b/>
          <w:bCs/>
          <w:lang w:val="el-GR"/>
        </w:rPr>
        <w:t>στις έξι φάσεις της μεθόδου</w:t>
      </w:r>
      <w:r>
        <w:rPr>
          <w:lang w:val="el-GR"/>
        </w:rPr>
        <w:t>, οι οποίες εφαρμόστηκαν όχι γραμμικά αλλά επαναληπτικά:</w:t>
      </w:r>
    </w:p>
    <w:p w14:paraId="309DE77D" w14:textId="77777777" w:rsidR="00E63D5B" w:rsidRPr="00132066" w:rsidRDefault="001F059D">
      <w:pPr>
        <w:numPr>
          <w:ilvl w:val="0"/>
          <w:numId w:val="1"/>
        </w:numPr>
        <w:pBdr>
          <w:top w:val="nil"/>
          <w:left w:val="nil"/>
          <w:bottom w:val="nil"/>
          <w:right w:val="nil"/>
          <w:between w:val="nil"/>
        </w:pBdr>
        <w:spacing w:after="0"/>
        <w:jc w:val="left"/>
        <w:rPr>
          <w:lang w:val="el-GR"/>
        </w:rPr>
      </w:pPr>
      <w:r>
        <w:rPr>
          <w:color w:val="000000"/>
          <w:lang w:val="el-GR"/>
        </w:rPr>
        <w:t>Εξοικείωση με το υλικό, μέσω επανειλημμένων αναγνώσεων των απομαγνητοφωνήσεων και καταγραφής αρχικών παρατηρήσεων.</w:t>
      </w:r>
    </w:p>
    <w:p w14:paraId="34C66281" w14:textId="77777777" w:rsidR="00E63D5B" w:rsidRPr="00132066" w:rsidRDefault="001F059D">
      <w:pPr>
        <w:numPr>
          <w:ilvl w:val="0"/>
          <w:numId w:val="1"/>
        </w:numPr>
        <w:pBdr>
          <w:top w:val="nil"/>
          <w:left w:val="nil"/>
          <w:bottom w:val="nil"/>
          <w:right w:val="nil"/>
          <w:between w:val="nil"/>
        </w:pBdr>
        <w:spacing w:after="0"/>
        <w:jc w:val="left"/>
        <w:rPr>
          <w:lang w:val="el-GR"/>
        </w:rPr>
      </w:pPr>
      <w:r>
        <w:rPr>
          <w:color w:val="000000"/>
          <w:lang w:val="el-GR"/>
        </w:rPr>
        <w:t>Κωδικοποίηση , δηλαδή συστηματική επισήμανση των αποσπασμάτων με σύντομες ετικέτες που αποδίδουν το νόημά τους.</w:t>
      </w:r>
    </w:p>
    <w:p w14:paraId="39BDBC44" w14:textId="77777777" w:rsidR="00E63D5B" w:rsidRPr="00132066" w:rsidRDefault="001F059D">
      <w:pPr>
        <w:numPr>
          <w:ilvl w:val="0"/>
          <w:numId w:val="1"/>
        </w:numPr>
        <w:pBdr>
          <w:top w:val="nil"/>
          <w:left w:val="nil"/>
          <w:bottom w:val="nil"/>
          <w:right w:val="nil"/>
          <w:between w:val="nil"/>
        </w:pBdr>
        <w:spacing w:after="0"/>
        <w:jc w:val="left"/>
        <w:rPr>
          <w:lang w:val="el-GR"/>
        </w:rPr>
      </w:pPr>
      <w:r>
        <w:rPr>
          <w:color w:val="000000"/>
          <w:lang w:val="el-GR"/>
        </w:rPr>
        <w:t>Κατασκευή αρχικών θεμάτων, με ομαδοποίηση συναφών κωδίκων.</w:t>
      </w:r>
    </w:p>
    <w:p w14:paraId="3EEC4888" w14:textId="77777777" w:rsidR="00E63D5B" w:rsidRPr="00132066" w:rsidRDefault="001F059D">
      <w:pPr>
        <w:numPr>
          <w:ilvl w:val="0"/>
          <w:numId w:val="1"/>
        </w:numPr>
        <w:pBdr>
          <w:top w:val="nil"/>
          <w:left w:val="nil"/>
          <w:bottom w:val="nil"/>
          <w:right w:val="nil"/>
          <w:between w:val="nil"/>
        </w:pBdr>
        <w:spacing w:after="0"/>
        <w:jc w:val="left"/>
        <w:rPr>
          <w:lang w:val="el-GR"/>
        </w:rPr>
      </w:pPr>
      <w:r>
        <w:rPr>
          <w:color w:val="000000"/>
          <w:lang w:val="el-GR"/>
        </w:rPr>
        <w:t>Επανεξέταση των θεμάτων σε σχέση με τα αποσπάσματα και το σύνολο του υλικού.</w:t>
      </w:r>
    </w:p>
    <w:p w14:paraId="09A75C5B" w14:textId="77777777" w:rsidR="00E63D5B" w:rsidRPr="00132066" w:rsidRDefault="001F059D">
      <w:pPr>
        <w:numPr>
          <w:ilvl w:val="0"/>
          <w:numId w:val="1"/>
        </w:numPr>
        <w:pBdr>
          <w:top w:val="nil"/>
          <w:left w:val="nil"/>
          <w:bottom w:val="nil"/>
          <w:right w:val="nil"/>
          <w:between w:val="nil"/>
        </w:pBdr>
        <w:spacing w:after="0"/>
        <w:jc w:val="left"/>
        <w:rPr>
          <w:lang w:val="el-GR"/>
        </w:rPr>
      </w:pPr>
      <w:r>
        <w:rPr>
          <w:color w:val="000000"/>
          <w:lang w:val="el-GR"/>
        </w:rPr>
        <w:t>Ονομασία και ορισμός κάθε θέματος.</w:t>
      </w:r>
    </w:p>
    <w:p w14:paraId="748EC574" w14:textId="77777777" w:rsidR="00E63D5B" w:rsidRPr="00132066" w:rsidRDefault="001F059D">
      <w:pPr>
        <w:numPr>
          <w:ilvl w:val="0"/>
          <w:numId w:val="1"/>
        </w:numPr>
        <w:pBdr>
          <w:top w:val="nil"/>
          <w:left w:val="nil"/>
          <w:bottom w:val="nil"/>
          <w:right w:val="nil"/>
          <w:between w:val="nil"/>
        </w:pBdr>
        <w:spacing w:after="60"/>
        <w:jc w:val="left"/>
        <w:rPr>
          <w:lang w:val="el-GR"/>
        </w:rPr>
      </w:pPr>
      <w:r>
        <w:rPr>
          <w:color w:val="000000"/>
          <w:lang w:val="el-GR"/>
        </w:rPr>
        <w:t>Συγγραφή της αναλυτικής αφήγησης με αντιπροσωπευτικά αποσπάσματα.</w:t>
      </w:r>
    </w:p>
    <w:p w14:paraId="2439EE66" w14:textId="77777777" w:rsidR="00E63D5B" w:rsidRPr="00132066" w:rsidRDefault="001F059D">
      <w:pPr>
        <w:rPr>
          <w:lang w:val="el-GR"/>
        </w:rPr>
      </w:pPr>
      <w:r>
        <w:rPr>
          <w:lang w:val="el-GR"/>
        </w:rPr>
        <w:t xml:space="preserve">Κάθε συνέντευξη εξετάστηκε αρχικά ως αυτοτελής περίπτωση, σε τρεις παράλληλες στήλες: περιγραφικές παρατηρήσεις, κώδικες με τα αντίστοιχα αποσπάσματα και </w:t>
      </w:r>
      <w:proofErr w:type="spellStart"/>
      <w:r>
        <w:rPr>
          <w:lang w:val="el-GR"/>
        </w:rPr>
        <w:t>αναστοχαστικές</w:t>
      </w:r>
      <w:proofErr w:type="spellEnd"/>
      <w:r>
        <w:rPr>
          <w:lang w:val="el-GR"/>
        </w:rPr>
        <w:t xml:space="preserve"> σημειώσεις. Οι συνεντεύξεις έγιναν όλες από το ίδιο μέλος της ομάδας, η αρχική κωδικοποίηση από δύο μέλη, όχι για τον υπολογισμό «συμφωνίας» αλλά για τον </w:t>
      </w:r>
      <w:proofErr w:type="spellStart"/>
      <w:r>
        <w:rPr>
          <w:lang w:val="el-GR"/>
        </w:rPr>
        <w:t>αναστοχαστικό</w:t>
      </w:r>
      <w:proofErr w:type="spellEnd"/>
      <w:r>
        <w:rPr>
          <w:lang w:val="el-GR"/>
        </w:rPr>
        <w:t xml:space="preserve"> διάλογο μεταξύ διαφορετικών αναγνώσεων, και η τελική διαμόρφωση των θεμάτων από το σύνολο της ομάδας.</w:t>
      </w:r>
    </w:p>
    <w:p w14:paraId="5D7B9140" w14:textId="77777777" w:rsidR="00E63D5B" w:rsidRPr="00132066" w:rsidRDefault="001F059D">
      <w:pPr>
        <w:pStyle w:val="3"/>
        <w:rPr>
          <w:lang w:val="el-GR"/>
        </w:rPr>
      </w:pPr>
      <w:proofErr w:type="spellStart"/>
      <w:r>
        <w:rPr>
          <w:lang w:val="el-GR"/>
        </w:rPr>
        <w:t>Αναστοχασμός</w:t>
      </w:r>
      <w:proofErr w:type="spellEnd"/>
      <w:r>
        <w:rPr>
          <w:lang w:val="el-GR"/>
        </w:rPr>
        <w:t xml:space="preserve"> της ερευνητικής ομάδας</w:t>
      </w:r>
    </w:p>
    <w:p w14:paraId="6880280D" w14:textId="77777777" w:rsidR="00E63D5B" w:rsidRPr="000B7AA5" w:rsidRDefault="001F059D">
      <w:pPr>
        <w:rPr>
          <w:lang w:val="el-GR"/>
        </w:rPr>
      </w:pPr>
      <w:r>
        <w:rPr>
          <w:lang w:val="el-GR"/>
        </w:rPr>
        <w:t>Η ομάδα αναγνώρισε εξ αρχής και σε όλη τη διάρκεια της ανάλυσης τη δική της θέση και εμπειρία και τον τρόπο με τον οποίο αυτές μπορούσαν να επηρεάσουν την ερμηνεία των δεδομένων (</w:t>
      </w:r>
      <w:proofErr w:type="spellStart"/>
      <w:r>
        <w:rPr>
          <w:lang w:val="el-GR"/>
        </w:rPr>
        <w:t>Braun</w:t>
      </w:r>
      <w:proofErr w:type="spellEnd"/>
      <w:r>
        <w:rPr>
          <w:lang w:val="el-GR"/>
        </w:rPr>
        <w:t xml:space="preserve"> &amp; </w:t>
      </w:r>
      <w:proofErr w:type="spellStart"/>
      <w:r>
        <w:rPr>
          <w:lang w:val="el-GR"/>
        </w:rPr>
        <w:lastRenderedPageBreak/>
        <w:t>Clarke</w:t>
      </w:r>
      <w:proofErr w:type="spellEnd"/>
      <w:r>
        <w:rPr>
          <w:lang w:val="el-GR"/>
        </w:rPr>
        <w:t xml:space="preserve">, 2022·Willig, 2003). Η </w:t>
      </w:r>
      <w:proofErr w:type="spellStart"/>
      <w:r>
        <w:rPr>
          <w:lang w:val="el-GR"/>
        </w:rPr>
        <w:t>συνεντεύκτρια</w:t>
      </w:r>
      <w:proofErr w:type="spellEnd"/>
      <w:r>
        <w:rPr>
          <w:lang w:val="el-GR"/>
        </w:rPr>
        <w:t xml:space="preserve">, επαγγελματίας ψυχολόγος, ανέμενε ότι οι γυναίκες θα εστίαζαν κυρίως στην </w:t>
      </w:r>
      <w:proofErr w:type="spellStart"/>
      <w:r>
        <w:rPr>
          <w:lang w:val="el-GR"/>
        </w:rPr>
        <w:t>ευαλωτότητα</w:t>
      </w:r>
      <w:proofErr w:type="spellEnd"/>
      <w:r>
        <w:rPr>
          <w:lang w:val="el-GR"/>
        </w:rPr>
        <w:t xml:space="preserve"> και στον πόνο και ότι η απομάκρυνση από τη σχέση θα περιγραφόταν ως μια γραμμική πορεία. Οι αφηγήσεις έδειξαν κάτι διαφορετικό: ανέδειξαν την αυτενέργεια, την αμφιθυμία, τον υλικό και θεσμικό εγκλωβισμό και τη μη γραμμικότητα της ανάκαμψης. Εξετάστηκαν επίσης οι επιδράσεις της κοινής έμφυλης ταυτότητας (που διευκόλυνε την οικειότητα χωρίς να αναιρεί τις διαφορές τάξης, εθνικότητας και πρόσβασης σε πόρους), της επαγγελματικής ιδιότητας της ψυχολόγου (που μπορούσε να δημιουργήσει προσδοκίες θεραπείας), του χώρου του ΚΕΘΙ (οικείου αλλά θεσμικού), της παρουσίας διερμηνέα και της συναισθηματικής επιβάρυνσης της ίδιας της </w:t>
      </w:r>
      <w:proofErr w:type="spellStart"/>
      <w:r>
        <w:rPr>
          <w:lang w:val="el-GR"/>
        </w:rPr>
        <w:t>συνεντεύκτριας</w:t>
      </w:r>
      <w:proofErr w:type="spellEnd"/>
      <w:r>
        <w:rPr>
          <w:lang w:val="el-GR"/>
        </w:rPr>
        <w:t xml:space="preserve">, η οποία επεξεργάστηκε τις αντιδράσεις της σε εποπτεία. Οι δύο αναλύτριες έλεγξαν κριτικά τον κίνδυνο να αναγνωρίζουν ευκολότερα αφηγήσεις </w:t>
      </w:r>
      <w:proofErr w:type="spellStart"/>
      <w:r>
        <w:rPr>
          <w:lang w:val="el-GR"/>
        </w:rPr>
        <w:t>ευαλωτότητας</w:t>
      </w:r>
      <w:proofErr w:type="spellEnd"/>
      <w:r>
        <w:rPr>
          <w:lang w:val="el-GR"/>
        </w:rPr>
        <w:t>, να προσδοκούν γραμμική πορεία αποκατάστασης ή να ενοχοποιούν ή να εξιδανικεύουν τη μητέρα.</w:t>
      </w:r>
    </w:p>
    <w:p w14:paraId="178D78D4" w14:textId="77777777" w:rsidR="00E63D5B" w:rsidRPr="00132066" w:rsidRDefault="001F059D">
      <w:pPr>
        <w:pStyle w:val="20"/>
        <w:rPr>
          <w:lang w:val="el-GR"/>
        </w:rPr>
      </w:pPr>
      <w:bookmarkStart w:id="35" w:name="_Toc242134440"/>
      <w:r>
        <w:rPr>
          <w:lang w:val="el-GR"/>
        </w:rPr>
        <w:t>5.4 Μεθοδολογικές προκλήσεις και επιλογές</w:t>
      </w:r>
      <w:bookmarkEnd w:id="35"/>
    </w:p>
    <w:p w14:paraId="29612B64" w14:textId="77777777" w:rsidR="00E63D5B" w:rsidRPr="00132066" w:rsidRDefault="001F059D">
      <w:pPr>
        <w:rPr>
          <w:lang w:val="el-GR"/>
        </w:rPr>
      </w:pPr>
      <w:r>
        <w:rPr>
          <w:lang w:val="el-GR"/>
        </w:rPr>
        <w:t>Η έρευνα υλοποιήθηκε σε ευάλωτο και δυσπρόσιτο πληθυσμό, με τους ακόλουθους περιορισμούς:</w:t>
      </w:r>
    </w:p>
    <w:p w14:paraId="0FCA7505" w14:textId="77777777" w:rsidR="00E63D5B" w:rsidRDefault="001F059D">
      <w:pPr>
        <w:numPr>
          <w:ilvl w:val="0"/>
          <w:numId w:val="1"/>
        </w:numPr>
        <w:pBdr>
          <w:top w:val="nil"/>
          <w:left w:val="nil"/>
          <w:bottom w:val="nil"/>
          <w:right w:val="nil"/>
          <w:between w:val="nil"/>
        </w:pBdr>
        <w:spacing w:after="0"/>
        <w:jc w:val="left"/>
      </w:pPr>
      <w:r>
        <w:rPr>
          <w:color w:val="000000"/>
          <w:lang w:val="el-GR"/>
        </w:rPr>
        <w:t xml:space="preserve">Δειγματοληψία μέσω δομών. Το δείγμα αποτελείται από γυναίκες που είχαν ήδη έρθει σε επαφή με υπηρεσίες. </w:t>
      </w:r>
      <w:proofErr w:type="spellStart"/>
      <w:r>
        <w:rPr>
          <w:color w:val="000000"/>
        </w:rPr>
        <w:t>Γυν</w:t>
      </w:r>
      <w:proofErr w:type="spellEnd"/>
      <w:r>
        <w:rPr>
          <w:color w:val="000000"/>
        </w:rPr>
        <w:t>αίκες π</w:t>
      </w:r>
      <w:proofErr w:type="spellStart"/>
      <w:r>
        <w:rPr>
          <w:color w:val="000000"/>
        </w:rPr>
        <w:t>ου</w:t>
      </w:r>
      <w:proofErr w:type="spellEnd"/>
      <w:r>
        <w:rPr>
          <w:color w:val="000000"/>
        </w:rPr>
        <w:t xml:space="preserve"> </w:t>
      </w:r>
      <w:proofErr w:type="spellStart"/>
      <w:r>
        <w:rPr>
          <w:color w:val="000000"/>
        </w:rPr>
        <w:t>δεν</w:t>
      </w:r>
      <w:proofErr w:type="spellEnd"/>
      <w:r>
        <w:rPr>
          <w:color w:val="000000"/>
        </w:rPr>
        <w:t xml:space="preserve"> ανα</w:t>
      </w:r>
      <w:proofErr w:type="spellStart"/>
      <w:r>
        <w:rPr>
          <w:color w:val="000000"/>
        </w:rPr>
        <w:t>ζήτησ</w:t>
      </w:r>
      <w:proofErr w:type="spellEnd"/>
      <w:r>
        <w:rPr>
          <w:color w:val="000000"/>
        </w:rPr>
        <w:t>αν β</w:t>
      </w:r>
      <w:proofErr w:type="spellStart"/>
      <w:r>
        <w:rPr>
          <w:color w:val="000000"/>
        </w:rPr>
        <w:t>οήθει</w:t>
      </w:r>
      <w:proofErr w:type="spellEnd"/>
      <w:r>
        <w:rPr>
          <w:color w:val="000000"/>
        </w:rPr>
        <w:t xml:space="preserve">α </w:t>
      </w:r>
      <w:proofErr w:type="spellStart"/>
      <w:r>
        <w:rPr>
          <w:color w:val="000000"/>
        </w:rPr>
        <w:t>ενδέχετ</w:t>
      </w:r>
      <w:proofErr w:type="spellEnd"/>
      <w:r>
        <w:rPr>
          <w:color w:val="000000"/>
        </w:rPr>
        <w:t xml:space="preserve">αι να </w:t>
      </w:r>
      <w:proofErr w:type="spellStart"/>
      <w:r>
        <w:rPr>
          <w:color w:val="000000"/>
        </w:rPr>
        <w:t>δι</w:t>
      </w:r>
      <w:proofErr w:type="spellEnd"/>
      <w:r>
        <w:rPr>
          <w:color w:val="000000"/>
        </w:rPr>
        <w:t>αφέρουν.</w:t>
      </w:r>
    </w:p>
    <w:p w14:paraId="64F8048D" w14:textId="77777777" w:rsidR="00E63D5B" w:rsidRPr="00132066" w:rsidRDefault="001F059D">
      <w:pPr>
        <w:numPr>
          <w:ilvl w:val="0"/>
          <w:numId w:val="1"/>
        </w:numPr>
        <w:pBdr>
          <w:top w:val="nil"/>
          <w:left w:val="nil"/>
          <w:bottom w:val="nil"/>
          <w:right w:val="nil"/>
          <w:between w:val="nil"/>
        </w:pBdr>
        <w:spacing w:after="0"/>
        <w:jc w:val="left"/>
        <w:rPr>
          <w:lang w:val="el-GR"/>
        </w:rPr>
      </w:pPr>
      <w:r>
        <w:rPr>
          <w:color w:val="000000"/>
          <w:lang w:val="el-GR"/>
        </w:rPr>
        <w:t xml:space="preserve">Γλώσσα. Η απαίτηση επαρκούς ελληνικής στο ποσοτικό σκέλος απέκλεισε γυναίκες χωρίς γνώση της γλώσσας. Η προσέγγιση μεταναστριών και ιδίως </w:t>
      </w:r>
      <w:proofErr w:type="spellStart"/>
      <w:r>
        <w:rPr>
          <w:color w:val="000000"/>
          <w:lang w:val="el-GR"/>
        </w:rPr>
        <w:t>προσφυγισσών</w:t>
      </w:r>
      <w:proofErr w:type="spellEnd"/>
      <w:r>
        <w:rPr>
          <w:color w:val="000000"/>
          <w:lang w:val="el-GR"/>
        </w:rPr>
        <w:t xml:space="preserve"> αποδείχθηκε δύσκολη λόγω ασυνεχούς επαφής με τις υπηρεσίες, γλωσσικών εμποδίων, συχνών μετακινήσεων και πολλαπλών επιβαρύνσεων.</w:t>
      </w:r>
    </w:p>
    <w:p w14:paraId="19D376DB" w14:textId="77777777" w:rsidR="00E63D5B" w:rsidRPr="00132066" w:rsidRDefault="001F059D">
      <w:pPr>
        <w:numPr>
          <w:ilvl w:val="0"/>
          <w:numId w:val="1"/>
        </w:numPr>
        <w:pBdr>
          <w:top w:val="nil"/>
          <w:left w:val="nil"/>
          <w:bottom w:val="nil"/>
          <w:right w:val="nil"/>
          <w:between w:val="nil"/>
        </w:pBdr>
        <w:spacing w:after="60"/>
        <w:jc w:val="left"/>
        <w:rPr>
          <w:lang w:val="el-GR"/>
        </w:rPr>
      </w:pPr>
      <w:r>
        <w:rPr>
          <w:color w:val="000000"/>
          <w:lang w:val="el-GR"/>
        </w:rPr>
        <w:t xml:space="preserve">Μικρότερα υποδείγματα παιδιών. Από τις 72 μητέρες με παιδί 11–18 ετών, 41 (56,9%) έδωσαν συγκατάθεση και τελικά 25 έφηβοι/ες ολοκλήρωσαν τα ερωτηματολόγια. Η χρήση </w:t>
      </w:r>
      <w:proofErr w:type="spellStart"/>
      <w:r>
        <w:rPr>
          <w:color w:val="000000"/>
          <w:lang w:val="el-GR"/>
        </w:rPr>
        <w:t>ετεροαναφορών</w:t>
      </w:r>
      <w:proofErr w:type="spellEnd"/>
      <w:r>
        <w:rPr>
          <w:color w:val="000000"/>
          <w:lang w:val="el-GR"/>
        </w:rPr>
        <w:t xml:space="preserve"> για τα μικρότερα παιδιά και </w:t>
      </w:r>
      <w:proofErr w:type="spellStart"/>
      <w:r>
        <w:rPr>
          <w:color w:val="000000"/>
          <w:lang w:val="el-GR"/>
        </w:rPr>
        <w:t>αυτοαναφορών</w:t>
      </w:r>
      <w:proofErr w:type="spellEnd"/>
      <w:r>
        <w:rPr>
          <w:color w:val="000000"/>
          <w:lang w:val="el-GR"/>
        </w:rPr>
        <w:t xml:space="preserve"> για τους/τις εφήβους/ες περιορίζει τη </w:t>
      </w:r>
      <w:proofErr w:type="spellStart"/>
      <w:r>
        <w:rPr>
          <w:color w:val="000000"/>
          <w:lang w:val="el-GR"/>
        </w:rPr>
        <w:t>συγκρισιμότητα</w:t>
      </w:r>
      <w:proofErr w:type="spellEnd"/>
      <w:r>
        <w:rPr>
          <w:color w:val="000000"/>
          <w:lang w:val="el-GR"/>
        </w:rPr>
        <w:t>.</w:t>
      </w:r>
    </w:p>
    <w:p w14:paraId="60837D08" w14:textId="77777777" w:rsidR="00E63D5B" w:rsidRPr="00132066" w:rsidRDefault="001F059D">
      <w:pPr>
        <w:pStyle w:val="1"/>
        <w:pageBreakBefore/>
        <w:rPr>
          <w:lang w:val="el-GR"/>
        </w:rPr>
      </w:pPr>
      <w:bookmarkStart w:id="36" w:name="_Toc242134441"/>
      <w:r>
        <w:rPr>
          <w:lang w:val="el-GR"/>
        </w:rPr>
        <w:lastRenderedPageBreak/>
        <w:t>6. Αποτελέσματα της Ποσοτικής Έρευνας</w:t>
      </w:r>
      <w:bookmarkEnd w:id="36"/>
    </w:p>
    <w:p w14:paraId="2F609511" w14:textId="77777777" w:rsidR="00E63D5B" w:rsidRPr="00132066" w:rsidRDefault="001F059D">
      <w:pPr>
        <w:rPr>
          <w:lang w:val="el-GR"/>
        </w:rPr>
      </w:pPr>
      <w:r>
        <w:rPr>
          <w:lang w:val="el-GR"/>
        </w:rPr>
        <w:t>Το κεφάλαιο αυτό παρουσιάζει τα ευρήματα του ποσοτικού σκέλους. Όλα τα ευρήματα προέρχονται από τα δεδομένα της παρούσας έρευνας, εκτός αν αναφέρεται ρητά σύγκριση με τη βιβλιογραφία. Σε κάθε ενότητα δηλώνεται αν το εύρημα αφορά τις γυναίκες, τις μητέρες ή τα παιδιά. Τα ποσοστά υπολογίζονται επί των έγκυρων απαντήσεων σε κάθε ερώτηση, γι' αυτό τα επιμέρους σύνολα δεν ισούνται πάντοτε με 221. Οι στατιστικοί δείκτες παρατίθενται συγκεντρωτικά στον Πίνακα 6 στο τέλος του κεφαλαίου.</w:t>
      </w:r>
    </w:p>
    <w:p w14:paraId="27437C01" w14:textId="77777777" w:rsidR="00E63D5B" w:rsidRPr="00132066" w:rsidRDefault="001F059D">
      <w:pPr>
        <w:pStyle w:val="20"/>
        <w:rPr>
          <w:lang w:val="el-GR"/>
        </w:rPr>
      </w:pPr>
      <w:bookmarkStart w:id="37" w:name="_Toc242134442"/>
      <w:r>
        <w:rPr>
          <w:lang w:val="el-GR"/>
        </w:rPr>
        <w:t>6.1 Προφίλ των συμμετεχουσών</w:t>
      </w:r>
      <w:bookmarkEnd w:id="37"/>
    </w:p>
    <w:p w14:paraId="62F8E922" w14:textId="77777777" w:rsidR="00E63D5B" w:rsidRPr="00132066" w:rsidRDefault="001F059D">
      <w:pPr>
        <w:rPr>
          <w:lang w:val="el-GR"/>
        </w:rPr>
      </w:pPr>
      <w:r>
        <w:rPr>
          <w:lang w:val="el-GR"/>
        </w:rPr>
        <w:t>Στην έρευνα συμμετείχαν 221 γυναίκες από δομές υποστήριξης σε όλη την Ελλάδα. Η πλειονότητα ήταν ηλικίας 43–57 ετών (48,0%) ή 28–42 ετών (36,2%), ενώ μικρότερα ποσοστά αφορούσαν τις νεότερες 18–27 ετών (5,9%) και τις μεγαλύτερες άνω των 58 (10,0%). Το μορφωτικό τους επίπεδο ήταν υψηλό: περισσότερες από τις μισές (54,6%) ήταν κάτοχοι πτυχίου ή μεταπτυχιακού, το 40,7% είχε ολοκληρώσει τη δευτεροβάθμια εκπαίδευση και μόλις το 4,6% την πρωτοβάθμια. Το 57,0% εργαζόταν, το 27,6% ήταν άνεργες και το 15,4% οικονομικά μη ενεργές. Ως προς την οικονομική τους κατάσταση, όπως την αντιλαμβάνονταν οι ίδιες, το 57,7% τη χαρακτήρισε μεσαία, το 26,1% υψηλή και το 16,2% χαμηλή. Έξι στις δέκα (59,4%) διέμεναν σε αστική περιοχή και τέσσερις στις δέκα (40,6%) σε αγροτική ή ημιαστική.</w:t>
      </w:r>
    </w:p>
    <w:p w14:paraId="0214B517" w14:textId="77777777" w:rsidR="00E63D5B" w:rsidRPr="00132066" w:rsidRDefault="001F059D">
      <w:pPr>
        <w:rPr>
          <w:lang w:val="el-GR"/>
        </w:rPr>
      </w:pPr>
      <w:r>
        <w:rPr>
          <w:lang w:val="el-GR"/>
        </w:rPr>
        <w:t>Ως προς την καταγωγή, το 81,9% (181 γυναίκες) είχε γεννηθεί στην Ελλάδα και το 18,1% (40 γυναίκες) εκτός Ελλάδας. Η συχνότερη χώρα γέννησης μετά την Ελλάδα ήταν η Αλβανία, ενώ αναφέρθηκαν επίσης η Γερμανία, η Αυστραλία, η Γεωργία, η Βουλγαρία, η Ρουμανία και άλλες χώρες με μεμονωμένες περιπτώσεις. Τα χρόνια διαμονής στην Ελλάδα δεν καταγράφηκαν στο ερωτηματολόγιο. Οι γυναίκες που γεννήθηκαν εκτός Ελλάδας δεν διέφεραν από τις Ελληνίδες ως προς την ηλικία, την εκπαίδευση, την εργασία, τον τόπο κατοικίας ή τον αριθμό των παιδιών. Διέφεραν όμως σημαντικά ως προς την οικονομική κατάσταση: το 32,5% ανέφερε χαμηλό οικονομικό επίπεδο, έναντι 12,7% των Ελληνίδων, και μόνο το 15,0% υψηλό, έναντι 28,7%.</w:t>
      </w:r>
    </w:p>
    <w:p w14:paraId="6F73F0DE" w14:textId="77777777" w:rsidR="00E63D5B" w:rsidRPr="00132066" w:rsidRDefault="001F059D">
      <w:pPr>
        <w:rPr>
          <w:lang w:val="el-GR"/>
        </w:rPr>
      </w:pPr>
      <w:r>
        <w:rPr>
          <w:lang w:val="el-GR"/>
        </w:rPr>
        <w:t>Η οικογενειακή κατάσταση των συμμετεχουσών δείχνει ότι η μεγάλη πλειονότητα είχε ήδη απομακρυνθεί από τη σχέση: το 38,9% ήταν διαζευγμένες και το 24,0% σε διάσταση, δηλαδή συνολικά περίπου έξι στις δέκα (63%). Το 16,7% ήταν άγαμες, το 14,5% έγγαμες ή σε σύμφωνο συμβίωσης, το 4,1% σε σταθερή σχέση και το 1,8% χήρες. Η έρευνα αποτυπώνει, επομένως, σε μεγάλο βαθμό γυναίκες που βρίσκονται στη φάση μετά τον χωρισμό.</w:t>
      </w:r>
    </w:p>
    <w:p w14:paraId="4DEC79B9" w14:textId="77777777" w:rsidR="00E63D5B" w:rsidRDefault="001F059D">
      <w:pPr>
        <w:keepNext/>
        <w:jc w:val="center"/>
      </w:pPr>
      <w:r>
        <w:rPr>
          <w:noProof/>
          <w:lang w:val="el-GR"/>
        </w:rPr>
        <w:lastRenderedPageBreak/>
        <w:drawing>
          <wp:inline distT="0" distB="0" distL="0" distR="0" wp14:anchorId="7669A1DE" wp14:editId="4D73B63D">
            <wp:extent cx="5580000" cy="2451227"/>
            <wp:effectExtent l="0" t="0" r="0" b="0"/>
            <wp:docPr id="1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5580000" cy="2451227"/>
                    </a:xfrm>
                    <a:prstGeom prst="rect">
                      <a:avLst/>
                    </a:prstGeom>
                    <a:ln/>
                  </pic:spPr>
                </pic:pic>
              </a:graphicData>
            </a:graphic>
          </wp:inline>
        </w:drawing>
      </w:r>
    </w:p>
    <w:p w14:paraId="04068F8B" w14:textId="77777777" w:rsidR="00E63D5B" w:rsidRPr="00132066" w:rsidRDefault="001F059D">
      <w:pPr>
        <w:spacing w:after="240"/>
        <w:jc w:val="center"/>
        <w:rPr>
          <w:lang w:val="el-GR"/>
        </w:rPr>
      </w:pPr>
      <w:r>
        <w:rPr>
          <w:b/>
          <w:bCs/>
          <w:color w:val="555555"/>
          <w:sz w:val="19"/>
          <w:szCs w:val="19"/>
          <w:lang w:val="el-GR"/>
        </w:rPr>
        <w:t xml:space="preserve">Γράφημα 1. </w:t>
      </w:r>
      <w:r>
        <w:rPr>
          <w:i/>
          <w:iCs/>
          <w:color w:val="555555"/>
          <w:sz w:val="19"/>
          <w:szCs w:val="19"/>
          <w:lang w:val="el-GR"/>
        </w:rPr>
        <w:t>Οικογενειακή κατάσταση των συμμετεχουσών γυναικών (</w:t>
      </w:r>
      <w:r>
        <w:rPr>
          <w:i/>
          <w:iCs/>
          <w:color w:val="555555"/>
          <w:sz w:val="19"/>
          <w:szCs w:val="19"/>
        </w:rPr>
        <w:t>N</w:t>
      </w:r>
      <w:r>
        <w:rPr>
          <w:i/>
          <w:iCs/>
          <w:color w:val="555555"/>
          <w:sz w:val="19"/>
          <w:szCs w:val="19"/>
          <w:lang w:val="el-GR"/>
        </w:rPr>
        <w:t xml:space="preserve"> = 221).</w:t>
      </w:r>
    </w:p>
    <w:p w14:paraId="0ABD791A" w14:textId="77777777" w:rsidR="00E63D5B" w:rsidRPr="00132066" w:rsidRDefault="001F059D">
      <w:pPr>
        <w:rPr>
          <w:lang w:val="el-GR"/>
        </w:rPr>
      </w:pPr>
      <w:r>
        <w:rPr>
          <w:lang w:val="el-GR"/>
        </w:rPr>
        <w:t>Η συντριπτική πλειονότητα (84,7%, 188 γυναίκες) ήταν μητέρες. Από αυτές, οι περισσότερες (75,3%) είχαν ένα ή δύο παιδιά, το 20,4% τρία και το 4,3% τέσσερα ή περισσότερα. Οι μητέρες παρείχαν πληροφορίες για 137 παιδιά, από τα οποία το 52,6% ήταν αγόρια και το 47,4% κορίτσια, με μέση ηλικία 14,7 έτη (το εύρος κάλυπτε από βρέφη έως ενήλικα παιδιά). Το υποσύνολο των 25 εφήβων 11–17 ετών που συμπλήρωσαν δικά τους ερωτηματολόγια περιλάμβανε αγόρια και κορίτσια. Δεν παρατηρήθηκαν διαφορές ως προς το φύλο ή την ηλικία των παιδιών ανάμεσα σε ελληνικές και μη ελληνικές οικογένειες.</w:t>
      </w:r>
    </w:p>
    <w:tbl>
      <w:tblPr>
        <w:tblStyle w:val="aff8"/>
        <w:tblW w:w="9072" w:type="dxa"/>
        <w:jc w:val="center"/>
        <w:tblLayout w:type="fixed"/>
        <w:tblLook w:val="0400" w:firstRow="0" w:lastRow="0" w:firstColumn="0" w:lastColumn="0" w:noHBand="0" w:noVBand="1"/>
      </w:tblPr>
      <w:tblGrid>
        <w:gridCol w:w="9072"/>
      </w:tblGrid>
      <w:tr w:rsidR="00E63D5B" w:rsidRPr="00D84B1E" w14:paraId="48BA5565" w14:textId="77777777">
        <w:trPr>
          <w:cantSplit/>
          <w:tblHeader/>
          <w:jc w:val="center"/>
        </w:trPr>
        <w:tc>
          <w:tcPr>
            <w:tcW w:w="9072" w:type="dxa"/>
            <w:tcBorders>
              <w:top w:val="single" w:sz="6" w:space="0" w:color="B7C7DE"/>
              <w:left w:val="single" w:sz="6" w:space="0" w:color="B7C7DE"/>
              <w:bottom w:val="single" w:sz="6" w:space="0" w:color="B7C7DE"/>
              <w:right w:val="single" w:sz="6" w:space="0" w:color="B7C7DE"/>
            </w:tcBorders>
            <w:shd w:val="clear" w:color="auto" w:fill="EEF2F8"/>
          </w:tcPr>
          <w:p w14:paraId="21DB975D" w14:textId="77777777" w:rsidR="00E63D5B" w:rsidRPr="00132066" w:rsidRDefault="001F059D">
            <w:pPr>
              <w:spacing w:after="80" w:line="264" w:lineRule="auto"/>
              <w:jc w:val="left"/>
              <w:rPr>
                <w:lang w:val="el-GR"/>
              </w:rPr>
            </w:pPr>
            <w:r>
              <w:rPr>
                <w:b/>
                <w:bCs/>
                <w:lang w:val="el-GR"/>
              </w:rPr>
              <w:t>Σημασία των ευρημάτων: το προφίλ του δείγματος</w:t>
            </w:r>
          </w:p>
          <w:p w14:paraId="004A981E" w14:textId="77777777" w:rsidR="00E63D5B" w:rsidRPr="00132066" w:rsidRDefault="001F059D">
            <w:pPr>
              <w:spacing w:after="80" w:line="264" w:lineRule="auto"/>
              <w:jc w:val="left"/>
              <w:rPr>
                <w:lang w:val="el-GR"/>
              </w:rPr>
            </w:pPr>
            <w:r>
              <w:rPr>
                <w:lang w:val="el-GR"/>
              </w:rPr>
              <w:t>Το προφίλ των συμμετεχουσών διαψεύδει το στερεότυπο της χαμηλής μόρφωσης και κοινωνικά αποδυναμωμένης γυναίκας: η πλειονότητα είναι γυναίκες υψηλού μορφωτικού επιπέδου, εργαζόμενες, μέσης ηλικίας και μεσαίας οικονομικής κατάστασης. Η ενδοοικογενειακή βία διαπερνά όλα τα κοινωνικά στρώματα (</w:t>
            </w:r>
            <w:r>
              <w:t>Sokoloff</w:t>
            </w:r>
            <w:r>
              <w:rPr>
                <w:lang w:val="el-GR"/>
              </w:rPr>
              <w:t xml:space="preserve"> &amp; </w:t>
            </w:r>
            <w:r>
              <w:t>Dupont</w:t>
            </w:r>
            <w:r>
              <w:rPr>
                <w:lang w:val="el-GR"/>
              </w:rPr>
              <w:t xml:space="preserve">, 2005). Το γεγονός ότι το 63% έχει ήδη χωρίσει ή βρίσκεται σε διάσταση δείχνει ότι η επαφή με τις δομές πραγματοποιείται συχνά στη φάση της απομάκρυνσης, η οποία αποτελεί φάση αυξημένου κινδύνου και όχι λήξης του προβλήματος. Η μοναδική σημαντική διαφορά των μεταναστριών, η χαμηλότερη οικονομική κατάσταση, δείχνει τη διάσταση της υλικής </w:t>
            </w:r>
            <w:proofErr w:type="spellStart"/>
            <w:r>
              <w:rPr>
                <w:lang w:val="el-GR"/>
              </w:rPr>
              <w:t>ευαλωτότητας</w:t>
            </w:r>
            <w:proofErr w:type="spellEnd"/>
            <w:r>
              <w:rPr>
                <w:lang w:val="el-GR"/>
              </w:rPr>
              <w:t>.</w:t>
            </w:r>
          </w:p>
        </w:tc>
      </w:tr>
    </w:tbl>
    <w:p w14:paraId="2F6ADAC3" w14:textId="77777777" w:rsidR="00E63D5B" w:rsidRPr="00132066" w:rsidRDefault="00E63D5B">
      <w:pPr>
        <w:spacing w:after="40"/>
        <w:rPr>
          <w:lang w:val="el-GR"/>
        </w:rPr>
      </w:pPr>
    </w:p>
    <w:p w14:paraId="31572F40" w14:textId="77777777" w:rsidR="00E63D5B" w:rsidRPr="00132066" w:rsidRDefault="001F059D">
      <w:pPr>
        <w:pStyle w:val="20"/>
        <w:rPr>
          <w:lang w:val="el-GR"/>
        </w:rPr>
      </w:pPr>
      <w:bookmarkStart w:id="38" w:name="_Toc242134443"/>
      <w:r>
        <w:rPr>
          <w:lang w:val="el-GR"/>
        </w:rPr>
        <w:t>6.2 Έκθεση των γυναικών σε ενδοοικογενειακή βία</w:t>
      </w:r>
      <w:bookmarkEnd w:id="38"/>
    </w:p>
    <w:p w14:paraId="78BC7DDE" w14:textId="77777777" w:rsidR="00E63D5B" w:rsidRPr="000B7AA5" w:rsidRDefault="001F059D">
      <w:pPr>
        <w:rPr>
          <w:lang w:val="el-GR"/>
        </w:rPr>
      </w:pPr>
      <w:r>
        <w:rPr>
          <w:lang w:val="el-GR"/>
        </w:rPr>
        <w:t xml:space="preserve">Η έκθεση σε βία τους τελευταίους 12 μήνες μετρήθηκε με το ερωτηματολόγιο ανίχνευσης συντροφικής βίας E-HITS, το οποίο ρωτά τη γυναίκα πόσο συχνά, τον τελευταίο χρόνο, ο σύντροφός της την τραυμάτισε σωματικά, την </w:t>
      </w:r>
      <w:proofErr w:type="spellStart"/>
      <w:r>
        <w:rPr>
          <w:lang w:val="el-GR"/>
        </w:rPr>
        <w:t>προσέβαλε</w:t>
      </w:r>
      <w:proofErr w:type="spellEnd"/>
      <w:r>
        <w:rPr>
          <w:lang w:val="el-GR"/>
        </w:rPr>
        <w:t xml:space="preserve"> ή την υποτίμησε, την απείλησε, της φώναξε ή την έβρισε, και την εξανάγκασε σεξουαλικά. Καλύπτει δηλαδή πέντε μορφές βίας. Οι συχνότερες μορφές ήταν οι ψυχολογικές και λεκτικές: το 41,5% των γυναικών ανέφερε ότι δεχόταν προσβολές ή υποτιμητική συμπεριφορά «πολύ συχνά» και ένα επιπλέον 19,3% «συχνά», ενώ αντίστοιχα ποσοστά καταγράφηκαν για τις φωνές και τις βρισιές (41,1% «πολύ συχνά», 16,7% «συχνά»). Περίπου έξι στις δέκα γυναίκες, δηλαδή, ζούσαν σε ένα καθεστώς συστηματικής υποτίμησης. Οι απειλές πρόκλησης βλάβης αναφέρθηκαν από το 68,4% των γυναικών, από «σπάνια» έως «πολύ συχνά», και για μία στις πέντε (21,4%) ήταν «πολύ συχνές». Ο σωματικός τραυματισμός αναφέρθηκε από το 37,8% και ο εξαναγκασμός σε σεξουαλικές πράξεις από το 25,4% των γυναικών. Η πλειονότητα δήλωσε ότι δεν τα </w:t>
      </w:r>
      <w:r>
        <w:rPr>
          <w:lang w:val="el-GR"/>
        </w:rPr>
        <w:lastRenderedPageBreak/>
        <w:t>είχε βιώσει τον τελευταίο χρόνο (62,2% και 74,6% αντίστοιχα). Οι μορφές αυτές σπάνια εμφανίζονται μεμονωμένα: από τις γυναίκες που ανέφεραν οποιαδήποτε μορφή βίας τους τελευταίους 12 μήνες, το 97% ανέφερε δύο ή περισσότερες μορφές και το 77% τρεις ή περισσότερες, ενώ μόνο το 3% ανέφερε μία μορφή.</w:t>
      </w:r>
    </w:p>
    <w:p w14:paraId="7235A2C2" w14:textId="77777777" w:rsidR="00E63D5B" w:rsidRDefault="001F059D">
      <w:pPr>
        <w:keepNext/>
        <w:jc w:val="center"/>
      </w:pPr>
      <w:r>
        <w:rPr>
          <w:noProof/>
          <w:lang w:val="el-GR"/>
        </w:rPr>
        <w:drawing>
          <wp:inline distT="0" distB="0" distL="0" distR="0" wp14:anchorId="6B230DE9" wp14:editId="3AD995FC">
            <wp:extent cx="5580000" cy="2744365"/>
            <wp:effectExtent l="0" t="0" r="0" b="0"/>
            <wp:docPr id="1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5580000" cy="2744365"/>
                    </a:xfrm>
                    <a:prstGeom prst="rect">
                      <a:avLst/>
                    </a:prstGeom>
                    <a:ln/>
                  </pic:spPr>
                </pic:pic>
              </a:graphicData>
            </a:graphic>
          </wp:inline>
        </w:drawing>
      </w:r>
    </w:p>
    <w:p w14:paraId="0EB1E916" w14:textId="77777777" w:rsidR="00E63D5B" w:rsidRPr="00132066" w:rsidRDefault="001F059D">
      <w:pPr>
        <w:spacing w:after="240"/>
        <w:jc w:val="center"/>
        <w:rPr>
          <w:lang w:val="el-GR"/>
        </w:rPr>
      </w:pPr>
      <w:r>
        <w:rPr>
          <w:b/>
          <w:bCs/>
          <w:color w:val="555555"/>
          <w:sz w:val="19"/>
          <w:szCs w:val="19"/>
          <w:lang w:val="el-GR"/>
        </w:rPr>
        <w:t xml:space="preserve">Γράφημα 2. </w:t>
      </w:r>
      <w:r>
        <w:rPr>
          <w:i/>
          <w:iCs/>
          <w:color w:val="555555"/>
          <w:sz w:val="19"/>
          <w:szCs w:val="19"/>
          <w:lang w:val="el-GR"/>
        </w:rPr>
        <w:t>Μορφές ενδοοικογενειακής βίας που βίωσαν οι γυναίκες τους τελευταίους 12 μήνες (</w:t>
      </w:r>
      <w:r>
        <w:rPr>
          <w:i/>
          <w:iCs/>
          <w:color w:val="555555"/>
          <w:sz w:val="19"/>
          <w:szCs w:val="19"/>
        </w:rPr>
        <w:t>E</w:t>
      </w:r>
      <w:r>
        <w:rPr>
          <w:i/>
          <w:iCs/>
          <w:color w:val="555555"/>
          <w:sz w:val="19"/>
          <w:szCs w:val="19"/>
          <w:lang w:val="el-GR"/>
        </w:rPr>
        <w:t>-</w:t>
      </w:r>
      <w:r>
        <w:rPr>
          <w:i/>
          <w:iCs/>
          <w:color w:val="555555"/>
          <w:sz w:val="19"/>
          <w:szCs w:val="19"/>
        </w:rPr>
        <w:t>HITS</w:t>
      </w:r>
      <w:r>
        <w:rPr>
          <w:i/>
          <w:iCs/>
          <w:color w:val="555555"/>
          <w:sz w:val="19"/>
          <w:szCs w:val="19"/>
          <w:lang w:val="el-GR"/>
        </w:rPr>
        <w:t>).</w:t>
      </w:r>
    </w:p>
    <w:p w14:paraId="5A47A72A" w14:textId="77777777" w:rsidR="00E63D5B" w:rsidRPr="00132066" w:rsidRDefault="001F059D">
      <w:pPr>
        <w:rPr>
          <w:lang w:val="el-GR"/>
        </w:rPr>
      </w:pPr>
      <w:r>
        <w:rPr>
          <w:lang w:val="el-GR"/>
        </w:rPr>
        <w:t>Ως κύριος δράστης αναφέρθηκε συχνότερα ο πρώην σύζυγος (40,2%), ακολουθούμενος από τον σύζυγο (20,6%) και τον πρώην σύντροφο (19,0%). Ο νυν σύντροφος αναφέρθηκε από το 5,3%. Μικρότερα ποσοστά αφορούσαν άλλα μέλη της οικογένειας: τη μητέρα (5,8%), άλλο μέλος (5,8%) και τον πατέρα (3,2%). Συνολικά, το 85% των δραστών ήταν νυν ή πρώην σύζυγοι ή σύντροφοι, και το 59,2% ήταν πρώην.</w:t>
      </w:r>
    </w:p>
    <w:p w14:paraId="09E4DC9D" w14:textId="77777777" w:rsidR="00E63D5B" w:rsidRDefault="001F059D">
      <w:pPr>
        <w:keepNext/>
        <w:jc w:val="center"/>
      </w:pPr>
      <w:r>
        <w:rPr>
          <w:noProof/>
          <w:lang w:val="el-GR"/>
        </w:rPr>
        <w:lastRenderedPageBreak/>
        <w:drawing>
          <wp:inline distT="0" distB="0" distL="0" distR="0" wp14:anchorId="485BC594" wp14:editId="03B7A13A">
            <wp:extent cx="5580000" cy="2735016"/>
            <wp:effectExtent l="0" t="0" r="0" b="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5580000" cy="2735016"/>
                    </a:xfrm>
                    <a:prstGeom prst="rect">
                      <a:avLst/>
                    </a:prstGeom>
                    <a:ln/>
                  </pic:spPr>
                </pic:pic>
              </a:graphicData>
            </a:graphic>
          </wp:inline>
        </w:drawing>
      </w:r>
    </w:p>
    <w:p w14:paraId="2BF02B28" w14:textId="77777777" w:rsidR="00E63D5B" w:rsidRPr="00132066" w:rsidRDefault="001F059D">
      <w:pPr>
        <w:keepNext/>
        <w:spacing w:after="240"/>
        <w:jc w:val="center"/>
        <w:rPr>
          <w:lang w:val="el-GR"/>
        </w:rPr>
      </w:pPr>
      <w:r>
        <w:rPr>
          <w:b/>
          <w:bCs/>
          <w:color w:val="555555"/>
          <w:sz w:val="19"/>
          <w:szCs w:val="19"/>
          <w:lang w:val="el-GR"/>
        </w:rPr>
        <w:t xml:space="preserve">Γράφημα 3. </w:t>
      </w:r>
      <w:r>
        <w:rPr>
          <w:color w:val="555555"/>
          <w:sz w:val="19"/>
          <w:szCs w:val="19"/>
          <w:lang w:val="el-GR"/>
        </w:rPr>
        <w:t>Σχέση των γυναικών με τον κύριο δράστη</w:t>
      </w:r>
      <w:r>
        <w:rPr>
          <w:i/>
          <w:iCs/>
          <w:color w:val="555555"/>
          <w:sz w:val="19"/>
          <w:szCs w:val="19"/>
          <w:lang w:val="el-GR"/>
        </w:rPr>
        <w:t xml:space="preserve"> της βίας.</w:t>
      </w:r>
    </w:p>
    <w:tbl>
      <w:tblPr>
        <w:tblStyle w:val="aff9"/>
        <w:tblW w:w="9072" w:type="dxa"/>
        <w:jc w:val="center"/>
        <w:tblLayout w:type="fixed"/>
        <w:tblLook w:val="0400" w:firstRow="0" w:lastRow="0" w:firstColumn="0" w:lastColumn="0" w:noHBand="0" w:noVBand="1"/>
      </w:tblPr>
      <w:tblGrid>
        <w:gridCol w:w="9072"/>
      </w:tblGrid>
      <w:tr w:rsidR="00E63D5B" w:rsidRPr="00D84B1E" w14:paraId="7E68C0BA" w14:textId="77777777">
        <w:trPr>
          <w:tblHeader/>
          <w:jc w:val="center"/>
        </w:trPr>
        <w:tc>
          <w:tcPr>
            <w:tcW w:w="9072" w:type="dxa"/>
            <w:tcBorders>
              <w:top w:val="single" w:sz="6" w:space="0" w:color="B7C7DE"/>
              <w:left w:val="single" w:sz="6" w:space="0" w:color="B7C7DE"/>
              <w:bottom w:val="single" w:sz="6" w:space="0" w:color="B7C7DE"/>
              <w:right w:val="single" w:sz="6" w:space="0" w:color="B7C7DE"/>
            </w:tcBorders>
            <w:shd w:val="clear" w:color="auto" w:fill="EEF2F8"/>
          </w:tcPr>
          <w:p w14:paraId="37B4793F" w14:textId="77777777" w:rsidR="00E63D5B" w:rsidRPr="00132066" w:rsidRDefault="001F059D">
            <w:pPr>
              <w:spacing w:after="80" w:line="264" w:lineRule="auto"/>
              <w:jc w:val="left"/>
              <w:rPr>
                <w:lang w:val="el-GR"/>
              </w:rPr>
            </w:pPr>
            <w:r>
              <w:rPr>
                <w:b/>
                <w:bCs/>
                <w:lang w:val="el-GR"/>
              </w:rPr>
              <w:t>Σημασία των ευρημάτων: η έκθεση στη βία</w:t>
            </w:r>
          </w:p>
          <w:p w14:paraId="219C25F4" w14:textId="77777777" w:rsidR="00E63D5B" w:rsidRPr="00132066" w:rsidRDefault="001F059D">
            <w:pPr>
              <w:spacing w:after="80" w:line="264" w:lineRule="auto"/>
              <w:jc w:val="left"/>
              <w:rPr>
                <w:lang w:val="el-GR"/>
              </w:rPr>
            </w:pPr>
            <w:r>
              <w:rPr>
                <w:lang w:val="el-GR"/>
              </w:rPr>
              <w:t xml:space="preserve">Η βία που βιώνουν οι γυναίκες είναι πρωτίστως ψυχολογική και λεκτική, συνεχής και όχι περιστασιακή. Η βία είναι </w:t>
            </w:r>
            <w:proofErr w:type="spellStart"/>
            <w:r>
              <w:rPr>
                <w:lang w:val="el-GR"/>
              </w:rPr>
              <w:t>πολυεπίπεδη</w:t>
            </w:r>
            <w:proofErr w:type="spellEnd"/>
            <w:r>
              <w:rPr>
                <w:lang w:val="el-GR"/>
              </w:rPr>
              <w:t>: σχεδόν καμία γυναίκα δεν βιώνει μία μόνο μορφή, και η ψυχολογική βία συνυπάρχει κατά κανόνα με απειλές και, σε μεγάλο μέρος του δείγματος, με σωματική ή σεξουαλική βία. Η ψυχολογική βία δεν συνιστά ηπιότερη μορφή βίας, καθώς η συστηματική υποτίμηση και οι απειλές αποτελούν τον πυρήνα του εξαναγκαστικού ελέγχου και προκαλούν τραύμα ανεξάρτητα από τη σωματική βία (</w:t>
            </w:r>
            <w:r>
              <w:t>Stark</w:t>
            </w:r>
            <w:r>
              <w:rPr>
                <w:lang w:val="el-GR"/>
              </w:rPr>
              <w:t>, 2007). Η σωματική και η σεξουαλική βία αφορούν μειοψηφία, αλλά όχι αμελητέα: περίπου τέσσερις και δυόμισι στις δέκα γυναίκες αντίστοιχα. Το γεγονός ότι ο συχνότερος δράστης είναι ο πρώην σύζυγος επιβεβαιώνει, μαζί με την οικογενειακή κατάσταση του δείγματος, ότι η βία δεν τελειώνει με τον χωρισμό. Οι υπηρεσίες χρειάζεται να σχεδιάζουν την προστασία και για την περίοδο μετά την αποχώρηση.</w:t>
            </w:r>
          </w:p>
        </w:tc>
      </w:tr>
    </w:tbl>
    <w:p w14:paraId="13B69D87" w14:textId="77777777" w:rsidR="00E63D5B" w:rsidRPr="00132066" w:rsidRDefault="00E63D5B">
      <w:pPr>
        <w:spacing w:after="40"/>
        <w:rPr>
          <w:lang w:val="el-GR"/>
        </w:rPr>
      </w:pPr>
    </w:p>
    <w:p w14:paraId="5FC6048E" w14:textId="77777777" w:rsidR="00E63D5B" w:rsidRPr="00132066" w:rsidRDefault="001F059D">
      <w:pPr>
        <w:pStyle w:val="20"/>
        <w:rPr>
          <w:lang w:val="el-GR"/>
        </w:rPr>
      </w:pPr>
      <w:bookmarkStart w:id="39" w:name="_Toc242134444"/>
      <w:r>
        <w:rPr>
          <w:lang w:val="el-GR"/>
        </w:rPr>
        <w:t xml:space="preserve">6.3 Ψυχική υγεία των γυναικών: </w:t>
      </w:r>
      <w:proofErr w:type="spellStart"/>
      <w:r>
        <w:rPr>
          <w:lang w:val="el-GR"/>
        </w:rPr>
        <w:t>μετατραυματικά</w:t>
      </w:r>
      <w:proofErr w:type="spellEnd"/>
      <w:r>
        <w:rPr>
          <w:lang w:val="el-GR"/>
        </w:rPr>
        <w:t xml:space="preserve"> συμπτώματα, κατάθλιψη, στρες και ποιότητα ζωής</w:t>
      </w:r>
      <w:bookmarkEnd w:id="39"/>
    </w:p>
    <w:p w14:paraId="4AA9A47C" w14:textId="77777777" w:rsidR="00E63D5B" w:rsidRPr="00132066" w:rsidRDefault="001F059D">
      <w:pPr>
        <w:pStyle w:val="3"/>
        <w:rPr>
          <w:lang w:val="el-GR"/>
        </w:rPr>
      </w:pPr>
      <w:proofErr w:type="spellStart"/>
      <w:r>
        <w:rPr>
          <w:lang w:val="el-GR"/>
        </w:rPr>
        <w:t>Μετατραυματικά</w:t>
      </w:r>
      <w:proofErr w:type="spellEnd"/>
      <w:r>
        <w:rPr>
          <w:lang w:val="el-GR"/>
        </w:rPr>
        <w:t xml:space="preserve"> συμπτώματα</w:t>
      </w:r>
    </w:p>
    <w:p w14:paraId="69180E46" w14:textId="77777777" w:rsidR="00E63D5B" w:rsidRPr="000B7AA5" w:rsidRDefault="001F059D">
      <w:pPr>
        <w:rPr>
          <w:lang w:val="el-GR"/>
        </w:rPr>
      </w:pPr>
      <w:r>
        <w:rPr>
          <w:lang w:val="el-GR"/>
        </w:rPr>
        <w:t xml:space="preserve">Τα </w:t>
      </w:r>
      <w:proofErr w:type="spellStart"/>
      <w:r>
        <w:rPr>
          <w:lang w:val="el-GR"/>
        </w:rPr>
        <w:t>μετατραυματικά</w:t>
      </w:r>
      <w:proofErr w:type="spellEnd"/>
      <w:r>
        <w:rPr>
          <w:lang w:val="el-GR"/>
        </w:rPr>
        <w:t xml:space="preserve"> συμπτώματα μετρήθηκαν με τη Λίστα Ελέγχου </w:t>
      </w:r>
      <w:proofErr w:type="spellStart"/>
      <w:r>
        <w:rPr>
          <w:lang w:val="el-GR"/>
        </w:rPr>
        <w:t>Μετατραυματικού</w:t>
      </w:r>
      <w:proofErr w:type="spellEnd"/>
      <w:r>
        <w:rPr>
          <w:lang w:val="el-GR"/>
        </w:rPr>
        <w:t xml:space="preserve"> Στρες (PCL-5), ερωτηματολόγιο 20 ερωτήσεων που καλύπτει τις τέσσερις ομάδες συμπτωμάτων της ΔΜΤΣ: τις επανερχόμενες αναμνήσεις του τραυματικού γεγονότος, την αποφυγή όσων το θυμίζουν, τις αρνητικές σκέψεις και τη χαμηλή διάθεση, και την υπερδιέγερση, δηλαδή τη διαρκή επαγρύπνηση και ευερεθιστότητα. Η βαθμολογία κυμαίνεται από 0 έως 80 και τιμή 33 και άνω δηλώνει «πιθανή ΔΜΤΣ». Η μέση βαθμολογία του δείγματος (36,6 στα 80) υπερέβαινε το όριο των 33 μονάδων που δηλώνει πιθανή ΔΜΤΣ. Από τις 201 γυναίκες με πλήρη απάντηση στην κλίμακα, οι 126, δηλαδή σχεδόν δύο στις τρεις (62,7%), εμφάνιζαν ένδειξη πιθανής ΔΜΤΣ. Οι εντονότερες εκδηλώσεις αφορούσαν τις αρνητικές σκέψεις και την αρνητική διάθεση (ενοχή, ντροπή, αίσθηση ότι κάτι έχει αλλάξει μόνιμα, αποξένωση), ακολουθούμενες από τις επανερχόμενες αναμνήσεις και την υπερδιέγερση (διαρκής εγρήγορση, ευερεθιστότητα, δυσκολία ύπνου). Η αποφυγή ήταν η λιγότερο έντονη διάσταση. Οι </w:t>
      </w:r>
      <w:r>
        <w:rPr>
          <w:lang w:val="el-GR"/>
        </w:rPr>
        <w:lastRenderedPageBreak/>
        <w:t>γυναίκες με πιθανή ΔΜΤΣ είχαν πολύ υψηλότερες βαθμολογίες σε όλες τις διαστάσεις, με τις μεγαλύτερες διαφορές στις αρνητικές σκέψεις/διάθεση και στην υπερδιέγερση.</w:t>
      </w:r>
    </w:p>
    <w:p w14:paraId="5AE87C7A" w14:textId="516ABAAC" w:rsidR="00E63D5B" w:rsidRPr="00132066" w:rsidRDefault="001F059D">
      <w:pPr>
        <w:keepNext/>
        <w:spacing w:after="60"/>
        <w:jc w:val="left"/>
        <w:rPr>
          <w:lang w:val="el-GR"/>
        </w:rPr>
      </w:pPr>
      <w:r>
        <w:rPr>
          <w:b/>
          <w:bCs/>
          <w:color w:val="1D2B44"/>
          <w:sz w:val="20"/>
          <w:szCs w:val="20"/>
          <w:lang w:val="el-GR"/>
        </w:rPr>
        <w:t xml:space="preserve">Πίνακας </w:t>
      </w:r>
      <w:r w:rsidR="00EB7D96">
        <w:rPr>
          <w:b/>
          <w:bCs/>
          <w:color w:val="1D2B44"/>
          <w:sz w:val="20"/>
          <w:szCs w:val="20"/>
          <w:lang w:val="el-GR"/>
        </w:rPr>
        <w:t>5</w:t>
      </w:r>
      <w:r>
        <w:rPr>
          <w:b/>
          <w:bCs/>
          <w:color w:val="1D2B44"/>
          <w:sz w:val="20"/>
          <w:szCs w:val="20"/>
          <w:lang w:val="el-GR"/>
        </w:rPr>
        <w:t xml:space="preserve">. </w:t>
      </w:r>
      <w:r>
        <w:rPr>
          <w:i/>
          <w:iCs/>
          <w:color w:val="1D2B44"/>
          <w:sz w:val="20"/>
          <w:szCs w:val="20"/>
          <w:lang w:val="el-GR"/>
        </w:rPr>
        <w:t xml:space="preserve">Διαστάσεις </w:t>
      </w:r>
      <w:proofErr w:type="spellStart"/>
      <w:r>
        <w:rPr>
          <w:i/>
          <w:iCs/>
          <w:color w:val="1D2B44"/>
          <w:sz w:val="20"/>
          <w:szCs w:val="20"/>
          <w:lang w:val="el-GR"/>
        </w:rPr>
        <w:t>μετατραυματικών</w:t>
      </w:r>
      <w:proofErr w:type="spellEnd"/>
      <w:r>
        <w:rPr>
          <w:i/>
          <w:iCs/>
          <w:color w:val="1D2B44"/>
          <w:sz w:val="20"/>
          <w:szCs w:val="20"/>
          <w:lang w:val="el-GR"/>
        </w:rPr>
        <w:t xml:space="preserve"> συμπτωμάτων (</w:t>
      </w:r>
      <w:r>
        <w:rPr>
          <w:i/>
          <w:iCs/>
          <w:color w:val="1D2B44"/>
          <w:sz w:val="20"/>
          <w:szCs w:val="20"/>
        </w:rPr>
        <w:t>PCL</w:t>
      </w:r>
      <w:r>
        <w:rPr>
          <w:i/>
          <w:iCs/>
          <w:color w:val="1D2B44"/>
          <w:sz w:val="20"/>
          <w:szCs w:val="20"/>
          <w:lang w:val="el-GR"/>
        </w:rPr>
        <w:t>-5) στο σύνολο του δείγματος και ανά ομάδα</w:t>
      </w:r>
    </w:p>
    <w:tbl>
      <w:tblPr>
        <w:tblStyle w:val="affa"/>
        <w:tblW w:w="9070" w:type="dxa"/>
        <w:jc w:val="center"/>
        <w:tblLayout w:type="fixed"/>
        <w:tblLook w:val="0400" w:firstRow="0" w:lastRow="0" w:firstColumn="0" w:lastColumn="0" w:noHBand="0" w:noVBand="1"/>
      </w:tblPr>
      <w:tblGrid>
        <w:gridCol w:w="1814"/>
        <w:gridCol w:w="1814"/>
        <w:gridCol w:w="1814"/>
        <w:gridCol w:w="1814"/>
        <w:gridCol w:w="1814"/>
      </w:tblGrid>
      <w:tr w:rsidR="00E63D5B" w14:paraId="3F9B2357" w14:textId="77777777">
        <w:trPr>
          <w:cantSplit/>
          <w:tblHeader/>
          <w:jc w:val="center"/>
        </w:trPr>
        <w:tc>
          <w:tcPr>
            <w:tcW w:w="1814" w:type="dxa"/>
            <w:tcBorders>
              <w:top w:val="single" w:sz="4" w:space="0" w:color="BFBFBF"/>
              <w:left w:val="single" w:sz="4" w:space="0" w:color="BFBFBF"/>
              <w:bottom w:val="single" w:sz="4" w:space="0" w:color="BFBFBF"/>
              <w:right w:val="single" w:sz="4" w:space="0" w:color="BFBFBF"/>
            </w:tcBorders>
            <w:shd w:val="clear" w:color="auto" w:fill="4A6FA5"/>
          </w:tcPr>
          <w:p w14:paraId="23FC477D" w14:textId="77777777" w:rsidR="00E63D5B" w:rsidRDefault="001F059D">
            <w:pPr>
              <w:spacing w:after="40" w:line="240" w:lineRule="auto"/>
              <w:jc w:val="left"/>
            </w:pPr>
            <w:proofErr w:type="spellStart"/>
            <w:r>
              <w:rPr>
                <w:b/>
                <w:bCs/>
                <w:color w:val="FFFFFF"/>
                <w:sz w:val="19"/>
                <w:szCs w:val="19"/>
              </w:rPr>
              <w:t>Διάστ</w:t>
            </w:r>
            <w:proofErr w:type="spellEnd"/>
            <w:r>
              <w:rPr>
                <w:b/>
                <w:bCs/>
                <w:color w:val="FFFFFF"/>
                <w:sz w:val="19"/>
                <w:szCs w:val="19"/>
              </w:rPr>
              <w:t>αση</w:t>
            </w:r>
          </w:p>
        </w:tc>
        <w:tc>
          <w:tcPr>
            <w:tcW w:w="1814" w:type="dxa"/>
            <w:tcBorders>
              <w:top w:val="single" w:sz="4" w:space="0" w:color="BFBFBF"/>
              <w:left w:val="single" w:sz="4" w:space="0" w:color="BFBFBF"/>
              <w:bottom w:val="single" w:sz="4" w:space="0" w:color="BFBFBF"/>
              <w:right w:val="single" w:sz="4" w:space="0" w:color="BFBFBF"/>
            </w:tcBorders>
            <w:shd w:val="clear" w:color="auto" w:fill="4A6FA5"/>
          </w:tcPr>
          <w:p w14:paraId="204F40DB" w14:textId="77777777" w:rsidR="00E63D5B" w:rsidRDefault="001F059D">
            <w:pPr>
              <w:spacing w:after="40" w:line="240" w:lineRule="auto"/>
              <w:jc w:val="left"/>
            </w:pPr>
            <w:proofErr w:type="spellStart"/>
            <w:proofErr w:type="gramStart"/>
            <w:r>
              <w:rPr>
                <w:b/>
                <w:bCs/>
                <w:color w:val="FFFFFF"/>
                <w:sz w:val="19"/>
                <w:szCs w:val="19"/>
              </w:rPr>
              <w:t>Σύνολο</w:t>
            </w:r>
            <w:proofErr w:type="spellEnd"/>
            <w:r>
              <w:rPr>
                <w:b/>
                <w:bCs/>
                <w:color w:val="FFFFFF"/>
                <w:sz w:val="19"/>
                <w:szCs w:val="19"/>
              </w:rPr>
              <w:t xml:space="preserve"> (N =</w:t>
            </w:r>
            <w:proofErr w:type="gramEnd"/>
            <w:r>
              <w:rPr>
                <w:b/>
                <w:bCs/>
                <w:color w:val="FFFFFF"/>
                <w:sz w:val="19"/>
                <w:szCs w:val="19"/>
              </w:rPr>
              <w:t xml:space="preserve"> 221)</w:t>
            </w:r>
          </w:p>
        </w:tc>
        <w:tc>
          <w:tcPr>
            <w:tcW w:w="1814" w:type="dxa"/>
            <w:tcBorders>
              <w:top w:val="single" w:sz="4" w:space="0" w:color="BFBFBF"/>
              <w:left w:val="single" w:sz="4" w:space="0" w:color="BFBFBF"/>
              <w:bottom w:val="single" w:sz="4" w:space="0" w:color="BFBFBF"/>
              <w:right w:val="single" w:sz="4" w:space="0" w:color="BFBFBF"/>
            </w:tcBorders>
            <w:shd w:val="clear" w:color="auto" w:fill="4A6FA5"/>
          </w:tcPr>
          <w:p w14:paraId="1B77DF1D" w14:textId="77777777" w:rsidR="00E63D5B" w:rsidRDefault="001F059D">
            <w:pPr>
              <w:spacing w:after="40" w:line="240" w:lineRule="auto"/>
              <w:jc w:val="left"/>
            </w:pPr>
            <w:proofErr w:type="spellStart"/>
            <w:r>
              <w:rPr>
                <w:b/>
                <w:bCs/>
                <w:color w:val="FFFFFF"/>
                <w:sz w:val="19"/>
                <w:szCs w:val="19"/>
              </w:rPr>
              <w:t>Χωρίς</w:t>
            </w:r>
            <w:proofErr w:type="spellEnd"/>
            <w:r>
              <w:rPr>
                <w:b/>
                <w:bCs/>
                <w:color w:val="FFFFFF"/>
                <w:sz w:val="19"/>
                <w:szCs w:val="19"/>
              </w:rPr>
              <w:t xml:space="preserve"> π</w:t>
            </w:r>
            <w:proofErr w:type="spellStart"/>
            <w:r>
              <w:rPr>
                <w:b/>
                <w:bCs/>
                <w:color w:val="FFFFFF"/>
                <w:sz w:val="19"/>
                <w:szCs w:val="19"/>
              </w:rPr>
              <w:t>ιθ</w:t>
            </w:r>
            <w:proofErr w:type="spellEnd"/>
            <w:r>
              <w:rPr>
                <w:b/>
                <w:bCs/>
                <w:color w:val="FFFFFF"/>
                <w:sz w:val="19"/>
                <w:szCs w:val="19"/>
              </w:rPr>
              <w:t>ανή ΔΜΤΣ (n = 75)</w:t>
            </w:r>
          </w:p>
        </w:tc>
        <w:tc>
          <w:tcPr>
            <w:tcW w:w="1814" w:type="dxa"/>
            <w:tcBorders>
              <w:top w:val="single" w:sz="4" w:space="0" w:color="BFBFBF"/>
              <w:left w:val="single" w:sz="4" w:space="0" w:color="BFBFBF"/>
              <w:bottom w:val="single" w:sz="4" w:space="0" w:color="BFBFBF"/>
              <w:right w:val="single" w:sz="4" w:space="0" w:color="BFBFBF"/>
            </w:tcBorders>
            <w:shd w:val="clear" w:color="auto" w:fill="4A6FA5"/>
          </w:tcPr>
          <w:p w14:paraId="60B70EEF" w14:textId="77777777" w:rsidR="00E63D5B" w:rsidRDefault="001F059D">
            <w:pPr>
              <w:spacing w:after="40" w:line="240" w:lineRule="auto"/>
              <w:jc w:val="left"/>
            </w:pPr>
            <w:proofErr w:type="spellStart"/>
            <w:r>
              <w:rPr>
                <w:b/>
                <w:bCs/>
                <w:color w:val="FFFFFF"/>
                <w:sz w:val="19"/>
                <w:szCs w:val="19"/>
              </w:rPr>
              <w:t>Με</w:t>
            </w:r>
            <w:proofErr w:type="spellEnd"/>
            <w:r>
              <w:rPr>
                <w:b/>
                <w:bCs/>
                <w:color w:val="FFFFFF"/>
                <w:sz w:val="19"/>
                <w:szCs w:val="19"/>
              </w:rPr>
              <w:t xml:space="preserve"> π</w:t>
            </w:r>
            <w:proofErr w:type="spellStart"/>
            <w:r>
              <w:rPr>
                <w:b/>
                <w:bCs/>
                <w:color w:val="FFFFFF"/>
                <w:sz w:val="19"/>
                <w:szCs w:val="19"/>
              </w:rPr>
              <w:t>ιθ</w:t>
            </w:r>
            <w:proofErr w:type="spellEnd"/>
            <w:r>
              <w:rPr>
                <w:b/>
                <w:bCs/>
                <w:color w:val="FFFFFF"/>
                <w:sz w:val="19"/>
                <w:szCs w:val="19"/>
              </w:rPr>
              <w:t>ανή ΔΜΤΣ (n = 126)</w:t>
            </w:r>
          </w:p>
        </w:tc>
        <w:tc>
          <w:tcPr>
            <w:tcW w:w="1814" w:type="dxa"/>
            <w:tcBorders>
              <w:top w:val="single" w:sz="4" w:space="0" w:color="BFBFBF"/>
              <w:left w:val="single" w:sz="4" w:space="0" w:color="BFBFBF"/>
              <w:bottom w:val="single" w:sz="4" w:space="0" w:color="BFBFBF"/>
              <w:right w:val="single" w:sz="4" w:space="0" w:color="BFBFBF"/>
            </w:tcBorders>
            <w:shd w:val="clear" w:color="auto" w:fill="4A6FA5"/>
          </w:tcPr>
          <w:p w14:paraId="69C4D7E4" w14:textId="77777777" w:rsidR="00E63D5B" w:rsidRDefault="001F059D">
            <w:pPr>
              <w:spacing w:after="40" w:line="240" w:lineRule="auto"/>
              <w:jc w:val="left"/>
            </w:pPr>
            <w:proofErr w:type="spellStart"/>
            <w:r>
              <w:rPr>
                <w:b/>
                <w:bCs/>
                <w:color w:val="FFFFFF"/>
                <w:sz w:val="19"/>
                <w:szCs w:val="19"/>
              </w:rPr>
              <w:t>Μέγεθος</w:t>
            </w:r>
            <w:proofErr w:type="spellEnd"/>
            <w:r>
              <w:rPr>
                <w:b/>
                <w:bCs/>
                <w:color w:val="FFFFFF"/>
                <w:sz w:val="19"/>
                <w:szCs w:val="19"/>
              </w:rPr>
              <w:t xml:space="preserve"> </w:t>
            </w:r>
            <w:proofErr w:type="spellStart"/>
            <w:r>
              <w:rPr>
                <w:b/>
                <w:bCs/>
                <w:color w:val="FFFFFF"/>
                <w:sz w:val="19"/>
                <w:szCs w:val="19"/>
              </w:rPr>
              <w:t>δι</w:t>
            </w:r>
            <w:proofErr w:type="spellEnd"/>
            <w:r>
              <w:rPr>
                <w:b/>
                <w:bCs/>
                <w:color w:val="FFFFFF"/>
                <w:sz w:val="19"/>
                <w:szCs w:val="19"/>
              </w:rPr>
              <w:t>αφοράς (d)</w:t>
            </w:r>
          </w:p>
        </w:tc>
      </w:tr>
      <w:tr w:rsidR="00E63D5B" w14:paraId="3283D784" w14:textId="77777777">
        <w:trPr>
          <w:cantSplit/>
          <w:jc w:val="center"/>
        </w:trPr>
        <w:tc>
          <w:tcPr>
            <w:tcW w:w="1814" w:type="dxa"/>
            <w:tcBorders>
              <w:top w:val="single" w:sz="4" w:space="0" w:color="BFBFBF"/>
              <w:left w:val="single" w:sz="4" w:space="0" w:color="BFBFBF"/>
              <w:bottom w:val="single" w:sz="4" w:space="0" w:color="BFBFBF"/>
              <w:right w:val="single" w:sz="4" w:space="0" w:color="BFBFBF"/>
            </w:tcBorders>
          </w:tcPr>
          <w:p w14:paraId="3DA78E75" w14:textId="77777777" w:rsidR="00E63D5B" w:rsidRDefault="001F059D">
            <w:pPr>
              <w:spacing w:after="40" w:line="240" w:lineRule="auto"/>
              <w:jc w:val="left"/>
            </w:pPr>
            <w:r>
              <w:rPr>
                <w:sz w:val="19"/>
                <w:szCs w:val="19"/>
              </w:rPr>
              <w:t>Επα</w:t>
            </w:r>
            <w:proofErr w:type="spellStart"/>
            <w:r>
              <w:rPr>
                <w:sz w:val="19"/>
                <w:szCs w:val="19"/>
              </w:rPr>
              <w:t>νερχόμενες</w:t>
            </w:r>
            <w:proofErr w:type="spellEnd"/>
            <w:r>
              <w:rPr>
                <w:sz w:val="19"/>
                <w:szCs w:val="19"/>
              </w:rPr>
              <w:t xml:space="preserve"> ανα</w:t>
            </w:r>
            <w:proofErr w:type="spellStart"/>
            <w:r>
              <w:rPr>
                <w:sz w:val="19"/>
                <w:szCs w:val="19"/>
              </w:rPr>
              <w:t>μνήσεις</w:t>
            </w:r>
            <w:proofErr w:type="spellEnd"/>
            <w:r>
              <w:rPr>
                <w:sz w:val="19"/>
                <w:szCs w:val="19"/>
              </w:rPr>
              <w:t xml:space="preserve"> (0–20)</w:t>
            </w:r>
          </w:p>
        </w:tc>
        <w:tc>
          <w:tcPr>
            <w:tcW w:w="1814" w:type="dxa"/>
            <w:tcBorders>
              <w:top w:val="single" w:sz="4" w:space="0" w:color="BFBFBF"/>
              <w:left w:val="single" w:sz="4" w:space="0" w:color="BFBFBF"/>
              <w:bottom w:val="single" w:sz="4" w:space="0" w:color="BFBFBF"/>
              <w:right w:val="single" w:sz="4" w:space="0" w:color="BFBFBF"/>
            </w:tcBorders>
          </w:tcPr>
          <w:p w14:paraId="6010EDC7" w14:textId="77777777" w:rsidR="00E63D5B" w:rsidRDefault="001F059D">
            <w:pPr>
              <w:spacing w:after="40" w:line="240" w:lineRule="auto"/>
              <w:jc w:val="left"/>
            </w:pPr>
            <w:r>
              <w:rPr>
                <w:sz w:val="19"/>
                <w:szCs w:val="19"/>
              </w:rPr>
              <w:t>10,02</w:t>
            </w:r>
          </w:p>
        </w:tc>
        <w:tc>
          <w:tcPr>
            <w:tcW w:w="1814" w:type="dxa"/>
            <w:tcBorders>
              <w:top w:val="single" w:sz="4" w:space="0" w:color="BFBFBF"/>
              <w:left w:val="single" w:sz="4" w:space="0" w:color="BFBFBF"/>
              <w:bottom w:val="single" w:sz="4" w:space="0" w:color="BFBFBF"/>
              <w:right w:val="single" w:sz="4" w:space="0" w:color="BFBFBF"/>
            </w:tcBorders>
          </w:tcPr>
          <w:p w14:paraId="047ECBE1" w14:textId="77777777" w:rsidR="00E63D5B" w:rsidRDefault="001F059D">
            <w:pPr>
              <w:spacing w:after="40" w:line="240" w:lineRule="auto"/>
              <w:jc w:val="left"/>
            </w:pPr>
            <w:r>
              <w:rPr>
                <w:sz w:val="19"/>
                <w:szCs w:val="19"/>
              </w:rPr>
              <w:t>5,92</w:t>
            </w:r>
          </w:p>
        </w:tc>
        <w:tc>
          <w:tcPr>
            <w:tcW w:w="1814" w:type="dxa"/>
            <w:tcBorders>
              <w:top w:val="single" w:sz="4" w:space="0" w:color="BFBFBF"/>
              <w:left w:val="single" w:sz="4" w:space="0" w:color="BFBFBF"/>
              <w:bottom w:val="single" w:sz="4" w:space="0" w:color="BFBFBF"/>
              <w:right w:val="single" w:sz="4" w:space="0" w:color="BFBFBF"/>
            </w:tcBorders>
          </w:tcPr>
          <w:p w14:paraId="0F602F63" w14:textId="77777777" w:rsidR="00E63D5B" w:rsidRDefault="001F059D">
            <w:pPr>
              <w:spacing w:after="40" w:line="240" w:lineRule="auto"/>
              <w:jc w:val="left"/>
            </w:pPr>
            <w:r>
              <w:rPr>
                <w:sz w:val="19"/>
                <w:szCs w:val="19"/>
              </w:rPr>
              <w:t>12,29</w:t>
            </w:r>
          </w:p>
        </w:tc>
        <w:tc>
          <w:tcPr>
            <w:tcW w:w="1814" w:type="dxa"/>
            <w:tcBorders>
              <w:top w:val="single" w:sz="4" w:space="0" w:color="BFBFBF"/>
              <w:left w:val="single" w:sz="4" w:space="0" w:color="BFBFBF"/>
              <w:bottom w:val="single" w:sz="4" w:space="0" w:color="BFBFBF"/>
              <w:right w:val="single" w:sz="4" w:space="0" w:color="BFBFBF"/>
            </w:tcBorders>
          </w:tcPr>
          <w:p w14:paraId="7806A8BA" w14:textId="77777777" w:rsidR="00E63D5B" w:rsidRDefault="001F059D">
            <w:pPr>
              <w:spacing w:after="40" w:line="240" w:lineRule="auto"/>
              <w:jc w:val="left"/>
            </w:pPr>
            <w:r>
              <w:rPr>
                <w:sz w:val="19"/>
                <w:szCs w:val="19"/>
              </w:rPr>
              <w:t>1,56</w:t>
            </w:r>
          </w:p>
        </w:tc>
      </w:tr>
      <w:tr w:rsidR="00E63D5B" w14:paraId="35192EE1" w14:textId="77777777">
        <w:trPr>
          <w:cantSplit/>
          <w:jc w:val="center"/>
        </w:trPr>
        <w:tc>
          <w:tcPr>
            <w:tcW w:w="1814" w:type="dxa"/>
            <w:tcBorders>
              <w:top w:val="single" w:sz="4" w:space="0" w:color="BFBFBF"/>
              <w:left w:val="single" w:sz="4" w:space="0" w:color="BFBFBF"/>
              <w:bottom w:val="single" w:sz="4" w:space="0" w:color="BFBFBF"/>
              <w:right w:val="single" w:sz="4" w:space="0" w:color="BFBFBF"/>
            </w:tcBorders>
            <w:shd w:val="clear" w:color="auto" w:fill="F3F6FA"/>
          </w:tcPr>
          <w:p w14:paraId="06EFA4D2" w14:textId="77777777" w:rsidR="00E63D5B" w:rsidRDefault="001F059D">
            <w:pPr>
              <w:spacing w:after="40" w:line="240" w:lineRule="auto"/>
              <w:jc w:val="left"/>
            </w:pPr>
            <w:r>
              <w:rPr>
                <w:sz w:val="19"/>
                <w:szCs w:val="19"/>
              </w:rPr>
              <w:t>Απ</w:t>
            </w:r>
            <w:proofErr w:type="spellStart"/>
            <w:r>
              <w:rPr>
                <w:sz w:val="19"/>
                <w:szCs w:val="19"/>
              </w:rPr>
              <w:t>οφυγή</w:t>
            </w:r>
            <w:proofErr w:type="spellEnd"/>
            <w:r>
              <w:rPr>
                <w:sz w:val="19"/>
                <w:szCs w:val="19"/>
              </w:rPr>
              <w:t xml:space="preserve"> (0–8)</w:t>
            </w:r>
          </w:p>
        </w:tc>
        <w:tc>
          <w:tcPr>
            <w:tcW w:w="1814" w:type="dxa"/>
            <w:tcBorders>
              <w:top w:val="single" w:sz="4" w:space="0" w:color="BFBFBF"/>
              <w:left w:val="single" w:sz="4" w:space="0" w:color="BFBFBF"/>
              <w:bottom w:val="single" w:sz="4" w:space="0" w:color="BFBFBF"/>
              <w:right w:val="single" w:sz="4" w:space="0" w:color="BFBFBF"/>
            </w:tcBorders>
            <w:shd w:val="clear" w:color="auto" w:fill="F3F6FA"/>
          </w:tcPr>
          <w:p w14:paraId="3292B2CE" w14:textId="77777777" w:rsidR="00E63D5B" w:rsidRDefault="001F059D">
            <w:pPr>
              <w:spacing w:after="40" w:line="240" w:lineRule="auto"/>
              <w:jc w:val="left"/>
            </w:pPr>
            <w:r>
              <w:rPr>
                <w:sz w:val="19"/>
                <w:szCs w:val="19"/>
              </w:rPr>
              <w:t>5,36</w:t>
            </w:r>
          </w:p>
        </w:tc>
        <w:tc>
          <w:tcPr>
            <w:tcW w:w="1814" w:type="dxa"/>
            <w:tcBorders>
              <w:top w:val="single" w:sz="4" w:space="0" w:color="BFBFBF"/>
              <w:left w:val="single" w:sz="4" w:space="0" w:color="BFBFBF"/>
              <w:bottom w:val="single" w:sz="4" w:space="0" w:color="BFBFBF"/>
              <w:right w:val="single" w:sz="4" w:space="0" w:color="BFBFBF"/>
            </w:tcBorders>
            <w:shd w:val="clear" w:color="auto" w:fill="F3F6FA"/>
          </w:tcPr>
          <w:p w14:paraId="40E24A40" w14:textId="77777777" w:rsidR="00E63D5B" w:rsidRDefault="001F059D">
            <w:pPr>
              <w:spacing w:after="40" w:line="240" w:lineRule="auto"/>
              <w:jc w:val="left"/>
            </w:pPr>
            <w:r>
              <w:rPr>
                <w:sz w:val="19"/>
                <w:szCs w:val="19"/>
              </w:rPr>
              <w:t>3,99</w:t>
            </w:r>
          </w:p>
        </w:tc>
        <w:tc>
          <w:tcPr>
            <w:tcW w:w="1814" w:type="dxa"/>
            <w:tcBorders>
              <w:top w:val="single" w:sz="4" w:space="0" w:color="BFBFBF"/>
              <w:left w:val="single" w:sz="4" w:space="0" w:color="BFBFBF"/>
              <w:bottom w:val="single" w:sz="4" w:space="0" w:color="BFBFBF"/>
              <w:right w:val="single" w:sz="4" w:space="0" w:color="BFBFBF"/>
            </w:tcBorders>
            <w:shd w:val="clear" w:color="auto" w:fill="F3F6FA"/>
          </w:tcPr>
          <w:p w14:paraId="444742AE" w14:textId="77777777" w:rsidR="00E63D5B" w:rsidRDefault="001F059D">
            <w:pPr>
              <w:spacing w:after="40" w:line="240" w:lineRule="auto"/>
              <w:jc w:val="left"/>
            </w:pPr>
            <w:r>
              <w:rPr>
                <w:sz w:val="19"/>
                <w:szCs w:val="19"/>
              </w:rPr>
              <w:t>6,19</w:t>
            </w:r>
          </w:p>
        </w:tc>
        <w:tc>
          <w:tcPr>
            <w:tcW w:w="1814" w:type="dxa"/>
            <w:tcBorders>
              <w:top w:val="single" w:sz="4" w:space="0" w:color="BFBFBF"/>
              <w:left w:val="single" w:sz="4" w:space="0" w:color="BFBFBF"/>
              <w:bottom w:val="single" w:sz="4" w:space="0" w:color="BFBFBF"/>
              <w:right w:val="single" w:sz="4" w:space="0" w:color="BFBFBF"/>
            </w:tcBorders>
            <w:shd w:val="clear" w:color="auto" w:fill="F3F6FA"/>
          </w:tcPr>
          <w:p w14:paraId="7CD5E759" w14:textId="77777777" w:rsidR="00E63D5B" w:rsidRDefault="001F059D">
            <w:pPr>
              <w:spacing w:after="40" w:line="240" w:lineRule="auto"/>
              <w:jc w:val="left"/>
            </w:pPr>
            <w:r>
              <w:rPr>
                <w:sz w:val="19"/>
                <w:szCs w:val="19"/>
              </w:rPr>
              <w:t>1,07</w:t>
            </w:r>
          </w:p>
        </w:tc>
      </w:tr>
      <w:tr w:rsidR="00E63D5B" w14:paraId="609AC7DE" w14:textId="77777777">
        <w:trPr>
          <w:cantSplit/>
          <w:jc w:val="center"/>
        </w:trPr>
        <w:tc>
          <w:tcPr>
            <w:tcW w:w="1814" w:type="dxa"/>
            <w:tcBorders>
              <w:top w:val="single" w:sz="4" w:space="0" w:color="BFBFBF"/>
              <w:left w:val="single" w:sz="4" w:space="0" w:color="BFBFBF"/>
              <w:bottom w:val="single" w:sz="4" w:space="0" w:color="BFBFBF"/>
              <w:right w:val="single" w:sz="4" w:space="0" w:color="BFBFBF"/>
            </w:tcBorders>
          </w:tcPr>
          <w:p w14:paraId="222836CC" w14:textId="77777777" w:rsidR="00E63D5B" w:rsidRDefault="001F059D">
            <w:pPr>
              <w:spacing w:after="40" w:line="240" w:lineRule="auto"/>
              <w:jc w:val="left"/>
            </w:pPr>
            <w:proofErr w:type="spellStart"/>
            <w:r>
              <w:rPr>
                <w:sz w:val="19"/>
                <w:szCs w:val="19"/>
              </w:rPr>
              <w:t>Αρνητικές</w:t>
            </w:r>
            <w:proofErr w:type="spellEnd"/>
            <w:r>
              <w:rPr>
                <w:sz w:val="19"/>
                <w:szCs w:val="19"/>
              </w:rPr>
              <w:t xml:space="preserve"> </w:t>
            </w:r>
            <w:proofErr w:type="spellStart"/>
            <w:r>
              <w:rPr>
                <w:sz w:val="19"/>
                <w:szCs w:val="19"/>
              </w:rPr>
              <w:t>σκέψεις</w:t>
            </w:r>
            <w:proofErr w:type="spellEnd"/>
            <w:r>
              <w:rPr>
                <w:sz w:val="19"/>
                <w:szCs w:val="19"/>
              </w:rPr>
              <w:t xml:space="preserve"> και </w:t>
            </w:r>
            <w:proofErr w:type="spellStart"/>
            <w:r>
              <w:rPr>
                <w:sz w:val="19"/>
                <w:szCs w:val="19"/>
              </w:rPr>
              <w:t>διάθεση</w:t>
            </w:r>
            <w:proofErr w:type="spellEnd"/>
            <w:r>
              <w:rPr>
                <w:sz w:val="19"/>
                <w:szCs w:val="19"/>
              </w:rPr>
              <w:t xml:space="preserve"> (0–28)</w:t>
            </w:r>
          </w:p>
        </w:tc>
        <w:tc>
          <w:tcPr>
            <w:tcW w:w="1814" w:type="dxa"/>
            <w:tcBorders>
              <w:top w:val="single" w:sz="4" w:space="0" w:color="BFBFBF"/>
              <w:left w:val="single" w:sz="4" w:space="0" w:color="BFBFBF"/>
              <w:bottom w:val="single" w:sz="4" w:space="0" w:color="BFBFBF"/>
              <w:right w:val="single" w:sz="4" w:space="0" w:color="BFBFBF"/>
            </w:tcBorders>
          </w:tcPr>
          <w:p w14:paraId="7BCAE767" w14:textId="77777777" w:rsidR="00E63D5B" w:rsidRDefault="001F059D">
            <w:pPr>
              <w:spacing w:after="40" w:line="240" w:lineRule="auto"/>
              <w:jc w:val="left"/>
            </w:pPr>
            <w:r>
              <w:rPr>
                <w:sz w:val="19"/>
                <w:szCs w:val="19"/>
              </w:rPr>
              <w:t>12,91</w:t>
            </w:r>
          </w:p>
        </w:tc>
        <w:tc>
          <w:tcPr>
            <w:tcW w:w="1814" w:type="dxa"/>
            <w:tcBorders>
              <w:top w:val="single" w:sz="4" w:space="0" w:color="BFBFBF"/>
              <w:left w:val="single" w:sz="4" w:space="0" w:color="BFBFBF"/>
              <w:bottom w:val="single" w:sz="4" w:space="0" w:color="BFBFBF"/>
              <w:right w:val="single" w:sz="4" w:space="0" w:color="BFBFBF"/>
            </w:tcBorders>
          </w:tcPr>
          <w:p w14:paraId="321C5C92" w14:textId="77777777" w:rsidR="00E63D5B" w:rsidRDefault="001F059D">
            <w:pPr>
              <w:spacing w:after="40" w:line="240" w:lineRule="auto"/>
              <w:jc w:val="left"/>
            </w:pPr>
            <w:r>
              <w:rPr>
                <w:sz w:val="19"/>
                <w:szCs w:val="19"/>
              </w:rPr>
              <w:t>6,01</w:t>
            </w:r>
          </w:p>
        </w:tc>
        <w:tc>
          <w:tcPr>
            <w:tcW w:w="1814" w:type="dxa"/>
            <w:tcBorders>
              <w:top w:val="single" w:sz="4" w:space="0" w:color="BFBFBF"/>
              <w:left w:val="single" w:sz="4" w:space="0" w:color="BFBFBF"/>
              <w:bottom w:val="single" w:sz="4" w:space="0" w:color="BFBFBF"/>
              <w:right w:val="single" w:sz="4" w:space="0" w:color="BFBFBF"/>
            </w:tcBorders>
          </w:tcPr>
          <w:p w14:paraId="05181426" w14:textId="77777777" w:rsidR="00E63D5B" w:rsidRDefault="001F059D">
            <w:pPr>
              <w:spacing w:after="40" w:line="240" w:lineRule="auto"/>
              <w:jc w:val="left"/>
            </w:pPr>
            <w:r>
              <w:rPr>
                <w:sz w:val="19"/>
                <w:szCs w:val="19"/>
              </w:rPr>
              <w:t>16,99</w:t>
            </w:r>
          </w:p>
        </w:tc>
        <w:tc>
          <w:tcPr>
            <w:tcW w:w="1814" w:type="dxa"/>
            <w:tcBorders>
              <w:top w:val="single" w:sz="4" w:space="0" w:color="BFBFBF"/>
              <w:left w:val="single" w:sz="4" w:space="0" w:color="BFBFBF"/>
              <w:bottom w:val="single" w:sz="4" w:space="0" w:color="BFBFBF"/>
              <w:right w:val="single" w:sz="4" w:space="0" w:color="BFBFBF"/>
            </w:tcBorders>
          </w:tcPr>
          <w:p w14:paraId="07C9B7BF" w14:textId="77777777" w:rsidR="00E63D5B" w:rsidRDefault="001F059D">
            <w:pPr>
              <w:spacing w:after="40" w:line="240" w:lineRule="auto"/>
              <w:jc w:val="left"/>
            </w:pPr>
            <w:r>
              <w:rPr>
                <w:sz w:val="19"/>
                <w:szCs w:val="19"/>
              </w:rPr>
              <w:t>2,45</w:t>
            </w:r>
          </w:p>
        </w:tc>
      </w:tr>
      <w:tr w:rsidR="00E63D5B" w14:paraId="7B89A678" w14:textId="77777777">
        <w:trPr>
          <w:cantSplit/>
          <w:jc w:val="center"/>
        </w:trPr>
        <w:tc>
          <w:tcPr>
            <w:tcW w:w="1814" w:type="dxa"/>
            <w:tcBorders>
              <w:top w:val="single" w:sz="4" w:space="0" w:color="BFBFBF"/>
              <w:left w:val="single" w:sz="4" w:space="0" w:color="BFBFBF"/>
              <w:bottom w:val="single" w:sz="4" w:space="0" w:color="BFBFBF"/>
              <w:right w:val="single" w:sz="4" w:space="0" w:color="BFBFBF"/>
            </w:tcBorders>
            <w:shd w:val="clear" w:color="auto" w:fill="F3F6FA"/>
          </w:tcPr>
          <w:p w14:paraId="2CF2734E" w14:textId="77777777" w:rsidR="00E63D5B" w:rsidRDefault="001F059D">
            <w:pPr>
              <w:spacing w:after="40" w:line="240" w:lineRule="auto"/>
              <w:jc w:val="left"/>
            </w:pPr>
            <w:r>
              <w:rPr>
                <w:sz w:val="19"/>
                <w:szCs w:val="19"/>
              </w:rPr>
              <w:t>Υπ</w:t>
            </w:r>
            <w:proofErr w:type="spellStart"/>
            <w:r>
              <w:rPr>
                <w:sz w:val="19"/>
                <w:szCs w:val="19"/>
              </w:rPr>
              <w:t>ερδιέγερση</w:t>
            </w:r>
            <w:proofErr w:type="spellEnd"/>
            <w:r>
              <w:rPr>
                <w:sz w:val="19"/>
                <w:szCs w:val="19"/>
              </w:rPr>
              <w:t xml:space="preserve"> (0–24)</w:t>
            </w:r>
          </w:p>
        </w:tc>
        <w:tc>
          <w:tcPr>
            <w:tcW w:w="1814" w:type="dxa"/>
            <w:tcBorders>
              <w:top w:val="single" w:sz="4" w:space="0" w:color="BFBFBF"/>
              <w:left w:val="single" w:sz="4" w:space="0" w:color="BFBFBF"/>
              <w:bottom w:val="single" w:sz="4" w:space="0" w:color="BFBFBF"/>
              <w:right w:val="single" w:sz="4" w:space="0" w:color="BFBFBF"/>
            </w:tcBorders>
            <w:shd w:val="clear" w:color="auto" w:fill="F3F6FA"/>
          </w:tcPr>
          <w:p w14:paraId="6C3E4123" w14:textId="77777777" w:rsidR="00E63D5B" w:rsidRDefault="001F059D">
            <w:pPr>
              <w:spacing w:after="40" w:line="240" w:lineRule="auto"/>
              <w:jc w:val="left"/>
            </w:pPr>
            <w:r>
              <w:rPr>
                <w:sz w:val="19"/>
                <w:szCs w:val="19"/>
              </w:rPr>
              <w:t>8,45</w:t>
            </w:r>
          </w:p>
        </w:tc>
        <w:tc>
          <w:tcPr>
            <w:tcW w:w="1814" w:type="dxa"/>
            <w:tcBorders>
              <w:top w:val="single" w:sz="4" w:space="0" w:color="BFBFBF"/>
              <w:left w:val="single" w:sz="4" w:space="0" w:color="BFBFBF"/>
              <w:bottom w:val="single" w:sz="4" w:space="0" w:color="BFBFBF"/>
              <w:right w:val="single" w:sz="4" w:space="0" w:color="BFBFBF"/>
            </w:tcBorders>
            <w:shd w:val="clear" w:color="auto" w:fill="F3F6FA"/>
          </w:tcPr>
          <w:p w14:paraId="2B55D8B2" w14:textId="77777777" w:rsidR="00E63D5B" w:rsidRDefault="001F059D">
            <w:pPr>
              <w:spacing w:after="40" w:line="240" w:lineRule="auto"/>
              <w:jc w:val="left"/>
            </w:pPr>
            <w:r>
              <w:rPr>
                <w:sz w:val="19"/>
                <w:szCs w:val="19"/>
              </w:rPr>
              <w:t>3,61</w:t>
            </w:r>
          </w:p>
        </w:tc>
        <w:tc>
          <w:tcPr>
            <w:tcW w:w="1814" w:type="dxa"/>
            <w:tcBorders>
              <w:top w:val="single" w:sz="4" w:space="0" w:color="BFBFBF"/>
              <w:left w:val="single" w:sz="4" w:space="0" w:color="BFBFBF"/>
              <w:bottom w:val="single" w:sz="4" w:space="0" w:color="BFBFBF"/>
              <w:right w:val="single" w:sz="4" w:space="0" w:color="BFBFBF"/>
            </w:tcBorders>
            <w:shd w:val="clear" w:color="auto" w:fill="F3F6FA"/>
          </w:tcPr>
          <w:p w14:paraId="1766FD9B" w14:textId="77777777" w:rsidR="00E63D5B" w:rsidRDefault="001F059D">
            <w:pPr>
              <w:spacing w:after="40" w:line="240" w:lineRule="auto"/>
              <w:jc w:val="left"/>
            </w:pPr>
            <w:r>
              <w:rPr>
                <w:sz w:val="19"/>
                <w:szCs w:val="19"/>
              </w:rPr>
              <w:t>11,22</w:t>
            </w:r>
          </w:p>
        </w:tc>
        <w:tc>
          <w:tcPr>
            <w:tcW w:w="1814" w:type="dxa"/>
            <w:tcBorders>
              <w:top w:val="single" w:sz="4" w:space="0" w:color="BFBFBF"/>
              <w:left w:val="single" w:sz="4" w:space="0" w:color="BFBFBF"/>
              <w:bottom w:val="single" w:sz="4" w:space="0" w:color="BFBFBF"/>
              <w:right w:val="single" w:sz="4" w:space="0" w:color="BFBFBF"/>
            </w:tcBorders>
            <w:shd w:val="clear" w:color="auto" w:fill="F3F6FA"/>
          </w:tcPr>
          <w:p w14:paraId="651BEE16" w14:textId="77777777" w:rsidR="00E63D5B" w:rsidRDefault="001F059D">
            <w:pPr>
              <w:spacing w:after="40" w:line="240" w:lineRule="auto"/>
              <w:jc w:val="left"/>
            </w:pPr>
            <w:r>
              <w:rPr>
                <w:sz w:val="19"/>
                <w:szCs w:val="19"/>
              </w:rPr>
              <w:t>2,10</w:t>
            </w:r>
          </w:p>
        </w:tc>
      </w:tr>
      <w:tr w:rsidR="00E63D5B" w14:paraId="05584D30" w14:textId="77777777">
        <w:trPr>
          <w:cantSplit/>
          <w:jc w:val="center"/>
        </w:trPr>
        <w:tc>
          <w:tcPr>
            <w:tcW w:w="1814" w:type="dxa"/>
            <w:tcBorders>
              <w:top w:val="single" w:sz="4" w:space="0" w:color="BFBFBF"/>
              <w:left w:val="single" w:sz="4" w:space="0" w:color="BFBFBF"/>
              <w:bottom w:val="single" w:sz="4" w:space="0" w:color="BFBFBF"/>
              <w:right w:val="single" w:sz="4" w:space="0" w:color="BFBFBF"/>
            </w:tcBorders>
          </w:tcPr>
          <w:p w14:paraId="6AC439AF" w14:textId="77777777" w:rsidR="00E63D5B" w:rsidRDefault="001F059D">
            <w:pPr>
              <w:spacing w:after="40" w:line="240" w:lineRule="auto"/>
              <w:jc w:val="left"/>
            </w:pPr>
            <w:proofErr w:type="spellStart"/>
            <w:r>
              <w:rPr>
                <w:sz w:val="19"/>
                <w:szCs w:val="19"/>
              </w:rPr>
              <w:t>Συνολική</w:t>
            </w:r>
            <w:proofErr w:type="spellEnd"/>
            <w:r>
              <w:rPr>
                <w:sz w:val="19"/>
                <w:szCs w:val="19"/>
              </w:rPr>
              <w:t xml:space="preserve"> βα</w:t>
            </w:r>
            <w:proofErr w:type="spellStart"/>
            <w:r>
              <w:rPr>
                <w:sz w:val="19"/>
                <w:szCs w:val="19"/>
              </w:rPr>
              <w:t>θμολογί</w:t>
            </w:r>
            <w:proofErr w:type="spellEnd"/>
            <w:r>
              <w:rPr>
                <w:sz w:val="19"/>
                <w:szCs w:val="19"/>
              </w:rPr>
              <w:t>α (0–80)</w:t>
            </w:r>
          </w:p>
        </w:tc>
        <w:tc>
          <w:tcPr>
            <w:tcW w:w="1814" w:type="dxa"/>
            <w:tcBorders>
              <w:top w:val="single" w:sz="4" w:space="0" w:color="BFBFBF"/>
              <w:left w:val="single" w:sz="4" w:space="0" w:color="BFBFBF"/>
              <w:bottom w:val="single" w:sz="4" w:space="0" w:color="BFBFBF"/>
              <w:right w:val="single" w:sz="4" w:space="0" w:color="BFBFBF"/>
            </w:tcBorders>
          </w:tcPr>
          <w:p w14:paraId="04E5E497" w14:textId="77777777" w:rsidR="00E63D5B" w:rsidRDefault="001F059D">
            <w:pPr>
              <w:spacing w:after="40" w:line="240" w:lineRule="auto"/>
              <w:jc w:val="left"/>
            </w:pPr>
            <w:r>
              <w:rPr>
                <w:sz w:val="19"/>
                <w:szCs w:val="19"/>
              </w:rPr>
              <w:t>36,56</w:t>
            </w:r>
          </w:p>
        </w:tc>
        <w:tc>
          <w:tcPr>
            <w:tcW w:w="1814" w:type="dxa"/>
            <w:tcBorders>
              <w:top w:val="single" w:sz="4" w:space="0" w:color="BFBFBF"/>
              <w:left w:val="single" w:sz="4" w:space="0" w:color="BFBFBF"/>
              <w:bottom w:val="single" w:sz="4" w:space="0" w:color="BFBFBF"/>
              <w:right w:val="single" w:sz="4" w:space="0" w:color="BFBFBF"/>
            </w:tcBorders>
          </w:tcPr>
          <w:p w14:paraId="027F2BA2" w14:textId="77777777" w:rsidR="00E63D5B" w:rsidRDefault="001F059D">
            <w:pPr>
              <w:spacing w:after="40" w:line="240" w:lineRule="auto"/>
              <w:jc w:val="left"/>
            </w:pPr>
            <w:r>
              <w:rPr>
                <w:sz w:val="19"/>
                <w:szCs w:val="19"/>
              </w:rPr>
              <w:t>19,53</w:t>
            </w:r>
          </w:p>
        </w:tc>
        <w:tc>
          <w:tcPr>
            <w:tcW w:w="1814" w:type="dxa"/>
            <w:tcBorders>
              <w:top w:val="single" w:sz="4" w:space="0" w:color="BFBFBF"/>
              <w:left w:val="single" w:sz="4" w:space="0" w:color="BFBFBF"/>
              <w:bottom w:val="single" w:sz="4" w:space="0" w:color="BFBFBF"/>
              <w:right w:val="single" w:sz="4" w:space="0" w:color="BFBFBF"/>
            </w:tcBorders>
          </w:tcPr>
          <w:p w14:paraId="63B990DC" w14:textId="77777777" w:rsidR="00E63D5B" w:rsidRDefault="001F059D">
            <w:pPr>
              <w:spacing w:after="40" w:line="240" w:lineRule="auto"/>
              <w:jc w:val="left"/>
            </w:pPr>
            <w:r>
              <w:rPr>
                <w:sz w:val="19"/>
                <w:szCs w:val="19"/>
              </w:rPr>
              <w:t>46,69</w:t>
            </w:r>
          </w:p>
        </w:tc>
        <w:tc>
          <w:tcPr>
            <w:tcW w:w="1814" w:type="dxa"/>
            <w:tcBorders>
              <w:top w:val="single" w:sz="4" w:space="0" w:color="BFBFBF"/>
              <w:left w:val="single" w:sz="4" w:space="0" w:color="BFBFBF"/>
              <w:bottom w:val="single" w:sz="4" w:space="0" w:color="BFBFBF"/>
              <w:right w:val="single" w:sz="4" w:space="0" w:color="BFBFBF"/>
            </w:tcBorders>
          </w:tcPr>
          <w:p w14:paraId="60F72BCD" w14:textId="77777777" w:rsidR="00E63D5B" w:rsidRDefault="001F059D">
            <w:pPr>
              <w:spacing w:after="40" w:line="240" w:lineRule="auto"/>
              <w:jc w:val="left"/>
            </w:pPr>
            <w:r>
              <w:rPr>
                <w:sz w:val="19"/>
                <w:szCs w:val="19"/>
              </w:rPr>
              <w:t>2,86</w:t>
            </w:r>
          </w:p>
        </w:tc>
      </w:tr>
    </w:tbl>
    <w:p w14:paraId="2795EBA0" w14:textId="77777777" w:rsidR="00E63D5B" w:rsidRDefault="00E63D5B">
      <w:pPr>
        <w:spacing w:after="80"/>
      </w:pPr>
    </w:p>
    <w:p w14:paraId="3D7D3403" w14:textId="77777777" w:rsidR="00E63D5B" w:rsidRPr="00132066" w:rsidRDefault="001F059D">
      <w:pPr>
        <w:rPr>
          <w:lang w:val="el-GR"/>
        </w:rPr>
      </w:pPr>
      <w:r>
        <w:rPr>
          <w:lang w:val="el-GR"/>
        </w:rPr>
        <w:t>Σημείωση: μέσες τιμές. Όλες οι διαφορές μεταξύ των δύο ομάδων είναι στατιστικώς σημαντικές (</w:t>
      </w:r>
      <w:r>
        <w:t>p</w:t>
      </w:r>
      <w:r>
        <w:rPr>
          <w:lang w:val="el-GR"/>
        </w:rPr>
        <w:t xml:space="preserve"> &lt; 0,001).</w:t>
      </w:r>
    </w:p>
    <w:p w14:paraId="07413D98" w14:textId="77777777" w:rsidR="00E63D5B" w:rsidRPr="00132066" w:rsidRDefault="001F059D">
      <w:pPr>
        <w:pStyle w:val="3"/>
        <w:rPr>
          <w:lang w:val="el-GR"/>
        </w:rPr>
      </w:pPr>
      <w:r>
        <w:rPr>
          <w:lang w:val="el-GR"/>
        </w:rPr>
        <w:t>Καταθλιπτικά συμπτώματα</w:t>
      </w:r>
    </w:p>
    <w:p w14:paraId="6CE4B646" w14:textId="77777777" w:rsidR="00E63D5B" w:rsidRPr="000B7AA5" w:rsidRDefault="001F059D">
      <w:pPr>
        <w:rPr>
          <w:lang w:val="el-GR"/>
        </w:rPr>
      </w:pPr>
      <w:r>
        <w:rPr>
          <w:lang w:val="el-GR"/>
        </w:rPr>
        <w:t>Η κατάθλιψη μετρήθηκε με το Ερωτηματολόγιο Υγείας Ασθενούς (PHQ-9), εννέα ερωτήσεων για τα καταθλιπτικά συμπτώματα των δύο τελευταίων εβδομάδων, όπως η απώλεια ενδιαφέροντος, η θλίψη, οι διαταραχές ύπνου και όρεξης και η κόπωση. Βαθμολογία 10 και άνω (στα 27) δηλώνει πιθανή κατάθλιψη. Το 27,0% των γυναικών δεν παρουσίαζε κλινικά σημαντικά συμπτώματα, το 30,4% ήπια, το 18,6% μέτρια, το 14,7% μέτρια-σοβαρή και το 9,3% σοβαρή συμπτωματολογία. Συνολικά, περισσότερες από τέσσερις στις δέκα (42,6%) υπερέβαιναν το όριο για πιθανή κατάθλιψη. Οι γυναίκες με πιθανή ΔΜΤΣ είχαν σχεδόν τριπλάσια καταθλιπτική συμπτωματολογία από εκείνες χωρίς (μέση βαθμολογία 12,4 έναντι 4,3), και η πιθανότητα ΔΜΤΣ αυξανόταν προοδευτικά όσο αυξανόταν η σοβαρότητα της κατάθλιψης.</w:t>
      </w:r>
    </w:p>
    <w:p w14:paraId="1D319544" w14:textId="77777777" w:rsidR="00E63D5B" w:rsidRDefault="001F059D">
      <w:pPr>
        <w:keepNext/>
        <w:jc w:val="center"/>
      </w:pPr>
      <w:r>
        <w:rPr>
          <w:noProof/>
          <w:lang w:val="el-GR"/>
        </w:rPr>
        <w:drawing>
          <wp:inline distT="0" distB="0" distL="0" distR="0" wp14:anchorId="36B0D51C" wp14:editId="38EC5F00">
            <wp:extent cx="5580000" cy="2173144"/>
            <wp:effectExtent l="0" t="0" r="0" b="0"/>
            <wp:docPr id="1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2"/>
                    <a:srcRect/>
                    <a:stretch>
                      <a:fillRect/>
                    </a:stretch>
                  </pic:blipFill>
                  <pic:spPr>
                    <a:xfrm>
                      <a:off x="0" y="0"/>
                      <a:ext cx="5580000" cy="2173144"/>
                    </a:xfrm>
                    <a:prstGeom prst="rect">
                      <a:avLst/>
                    </a:prstGeom>
                    <a:ln/>
                  </pic:spPr>
                </pic:pic>
              </a:graphicData>
            </a:graphic>
          </wp:inline>
        </w:drawing>
      </w:r>
    </w:p>
    <w:p w14:paraId="123812AB" w14:textId="77777777" w:rsidR="00E63D5B" w:rsidRPr="00132066" w:rsidRDefault="001F059D">
      <w:pPr>
        <w:spacing w:after="240"/>
        <w:jc w:val="center"/>
        <w:rPr>
          <w:lang w:val="el-GR"/>
        </w:rPr>
      </w:pPr>
      <w:r>
        <w:rPr>
          <w:b/>
          <w:bCs/>
          <w:color w:val="555555"/>
          <w:sz w:val="19"/>
          <w:szCs w:val="19"/>
          <w:lang w:val="el-GR"/>
        </w:rPr>
        <w:t xml:space="preserve">Γράφημα 4. </w:t>
      </w:r>
      <w:r>
        <w:rPr>
          <w:i/>
          <w:iCs/>
          <w:color w:val="555555"/>
          <w:sz w:val="19"/>
          <w:szCs w:val="19"/>
          <w:lang w:val="el-GR"/>
        </w:rPr>
        <w:t>Ποσοστό γυναικών πάνω από το κλινικό όριο για πιθανή ΔΜΤΣ και πιθανή κατάθλιψη, και κατανομή της σοβαρότητας των καταθλιπτικών συμπτωμάτων.</w:t>
      </w:r>
    </w:p>
    <w:p w14:paraId="0C30F01C" w14:textId="77777777" w:rsidR="00E63D5B" w:rsidRPr="00132066" w:rsidRDefault="001F059D">
      <w:pPr>
        <w:pStyle w:val="3"/>
        <w:rPr>
          <w:lang w:val="el-GR"/>
        </w:rPr>
      </w:pPr>
      <w:r>
        <w:rPr>
          <w:lang w:val="el-GR"/>
        </w:rPr>
        <w:t>Αντιλαμβανόμενο στρες</w:t>
      </w:r>
    </w:p>
    <w:p w14:paraId="4C78084F" w14:textId="77777777" w:rsidR="00E63D5B" w:rsidRPr="000B7AA5" w:rsidRDefault="001F059D">
      <w:pPr>
        <w:rPr>
          <w:lang w:val="el-GR"/>
        </w:rPr>
      </w:pPr>
      <w:r>
        <w:rPr>
          <w:lang w:val="el-GR"/>
        </w:rPr>
        <w:t xml:space="preserve">Το στρες μετρήθηκε με την Κλίμακα Αντιλαμβανόμενου Στρες (PSS-10), δέκα ερωτήσεων για το πόσο απρόβλεπτη, ανεξέλεγκτη και υπερφορτωμένη ένιωσε η γυναίκα τη ζωή της τον τελευταίο μήνα, με </w:t>
      </w:r>
      <w:r>
        <w:rPr>
          <w:lang w:val="el-GR"/>
        </w:rPr>
        <w:lastRenderedPageBreak/>
        <w:t xml:space="preserve">βαθμολογία από 0 έως 40. Η μέση βαθμολογία (21,5 στα 40) αντιστοιχεί σε μέτριο επίπεδο. Το 69,0% των γυναικών κατατάχθηκε στο μέτριο, το 20,0% στο υψηλό και μόνο το 11,0% στο χαμηλό επίπεδο. Από τις δύο διαστάσεις της κλίμακας, η αίσθηση </w:t>
      </w:r>
      <w:proofErr w:type="spellStart"/>
      <w:r>
        <w:rPr>
          <w:lang w:val="el-GR"/>
        </w:rPr>
        <w:t>αβοηθητότητας</w:t>
      </w:r>
      <w:proofErr w:type="spellEnd"/>
      <w:r>
        <w:rPr>
          <w:lang w:val="el-GR"/>
        </w:rPr>
        <w:t xml:space="preserve">, δηλαδή η αίσθηση ότι τα γεγονότα της ζωής είναι απρόβλεπτα, ανεξέλεγκτα και υπερβολικά απαιτητικά, ήταν σαφώς πιο έντονη από την αίσθηση ότι δεν μπορεί κανείς να τα βγάλει πέρα (έλλειψη </w:t>
      </w:r>
      <w:proofErr w:type="spellStart"/>
      <w:r>
        <w:rPr>
          <w:lang w:val="el-GR"/>
        </w:rPr>
        <w:t>αυτοαποτελεσματικότητας</w:t>
      </w:r>
      <w:proofErr w:type="spellEnd"/>
      <w:r>
        <w:rPr>
          <w:lang w:val="el-GR"/>
        </w:rPr>
        <w:t>). Οι γυναίκες με πιθανή ΔΜΤΣ ανέφεραν σημαντικά υψηλότερο στρες και στις δύο διαστάσεις.</w:t>
      </w:r>
    </w:p>
    <w:p w14:paraId="33E3A9FF" w14:textId="77777777" w:rsidR="00E63D5B" w:rsidRPr="00132066" w:rsidRDefault="001F059D">
      <w:pPr>
        <w:pStyle w:val="3"/>
        <w:rPr>
          <w:lang w:val="el-GR"/>
        </w:rPr>
      </w:pPr>
      <w:r>
        <w:rPr>
          <w:lang w:val="el-GR"/>
        </w:rPr>
        <w:t>Ποιότητα ζωής</w:t>
      </w:r>
    </w:p>
    <w:p w14:paraId="3FFD79AC" w14:textId="77777777" w:rsidR="00E63D5B" w:rsidRPr="000B7AA5" w:rsidRDefault="001F059D">
      <w:pPr>
        <w:rPr>
          <w:lang w:val="el-GR"/>
        </w:rPr>
      </w:pPr>
      <w:r>
        <w:rPr>
          <w:lang w:val="el-GR"/>
        </w:rPr>
        <w:t>Η ποιότητα ζωής μετρήθηκε με το Σύντομο Ερωτηματολόγιο Ποιότητας Ζωής του Παγκόσμιου Οργανισμού Υγείας (WHOQOL-BREF), το οποίο αξιολογεί τέσσερις τομείς: τη σωματική υγεία, την ψυχολογική υγεία, τις κοινωνικές σχέσεις και το περιβάλλον. Η βαθμολογία κάθε τομέα κυμαίνεται από 0 έως 100 και η υψηλότερη τιμή σημαίνει καλύτερη ποιότητα ζωής. Στο σύνολο του δείγματος οι βαθμολογίες ήταν μέτριες: υψηλότερη στη σωματική υγεία (66,7) και τη γενική υγεία (65,8), χαμηλότερη στην ψυχολογική υγεία (57,4), τη συνολική ποιότητα ζωής (55,1) και ιδίως στις κοινωνικές σχέσεις (52,8), που αποτέλεσαν τον πιο επιβαρυμένο τομέα. Οι γυναίκες με πιθανή ΔΜΤΣ είχαν σταθερά χαμηλότερη ποιότητα ζωής σε όλους τους τομείς, με τις μεγαλύτερες διαφορές στην ψυχολογική υγεία (50,4 έναντι 69,2), στη σωματική υγεία (60,7 έναντι 77,0) και στις κοινωνικές σχέσεις (44,5 έναντι 66,9). Σημαντική ήταν και η διαφορά στο περιβάλλον, δηλαδή στην ασφάλεια, τους οικονομικούς πόρους, τις συνθήκες διαβίωσης και την πρόσβαση σε υπηρεσίες (54,5 έναντι 66,3).</w:t>
      </w:r>
    </w:p>
    <w:p w14:paraId="7A3193BF" w14:textId="77777777" w:rsidR="00E63D5B" w:rsidRPr="00132066" w:rsidRDefault="001F059D">
      <w:pPr>
        <w:rPr>
          <w:lang w:val="el-GR"/>
        </w:rPr>
      </w:pPr>
      <w:r>
        <w:rPr>
          <w:lang w:val="el-GR"/>
        </w:rPr>
        <w:t>Σε σύγκριση με ελληνικό δείγμα αναφοράς υγιούς πληθυσμού (</w:t>
      </w:r>
      <w:proofErr w:type="spellStart"/>
      <w:r>
        <w:t>Ginieri</w:t>
      </w:r>
      <w:proofErr w:type="spellEnd"/>
      <w:r>
        <w:rPr>
          <w:lang w:val="el-GR"/>
        </w:rPr>
        <w:t>-</w:t>
      </w:r>
      <w:proofErr w:type="spellStart"/>
      <w:r>
        <w:t>Coccossis</w:t>
      </w:r>
      <w:proofErr w:type="spellEnd"/>
      <w:r>
        <w:rPr>
          <w:lang w:val="el-GR"/>
        </w:rPr>
        <w:t xml:space="preserve"> </w:t>
      </w:r>
      <w:r>
        <w:t>et</w:t>
      </w:r>
      <w:r>
        <w:rPr>
          <w:lang w:val="el-GR"/>
        </w:rPr>
        <w:t xml:space="preserve"> </w:t>
      </w:r>
      <w:r>
        <w:t>al</w:t>
      </w:r>
      <w:r>
        <w:rPr>
          <w:lang w:val="el-GR"/>
        </w:rPr>
        <w:t>., 2012), οι γυναίκες χωρίς πιθανή ΔΜΤΣ είχαν παρόμοιες βαθμολογίες στη σωματική και την ψυχολογική υγεία, ενώ οι γυναίκες με πιθανή ΔΜΤΣ ήταν αισθητά χαμηλότερα, ιδιαίτερα στις κοινωνικές σχέσεις.</w:t>
      </w:r>
    </w:p>
    <w:p w14:paraId="5AFE058A" w14:textId="77777777" w:rsidR="00E63D5B" w:rsidRDefault="001F059D">
      <w:pPr>
        <w:keepNext/>
        <w:jc w:val="center"/>
      </w:pPr>
      <w:r>
        <w:rPr>
          <w:noProof/>
          <w:lang w:val="el-GR"/>
        </w:rPr>
        <w:drawing>
          <wp:inline distT="0" distB="0" distL="0" distR="0" wp14:anchorId="5F0555F2" wp14:editId="6ABF01AC">
            <wp:extent cx="5580000" cy="2533654"/>
            <wp:effectExtent l="0" t="0" r="0" b="0"/>
            <wp:docPr id="1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3"/>
                    <a:srcRect/>
                    <a:stretch>
                      <a:fillRect/>
                    </a:stretch>
                  </pic:blipFill>
                  <pic:spPr>
                    <a:xfrm>
                      <a:off x="0" y="0"/>
                      <a:ext cx="5580000" cy="2533654"/>
                    </a:xfrm>
                    <a:prstGeom prst="rect">
                      <a:avLst/>
                    </a:prstGeom>
                    <a:ln/>
                  </pic:spPr>
                </pic:pic>
              </a:graphicData>
            </a:graphic>
          </wp:inline>
        </w:drawing>
      </w:r>
    </w:p>
    <w:p w14:paraId="5E276269" w14:textId="77777777" w:rsidR="00E63D5B" w:rsidRPr="00132066" w:rsidRDefault="001F059D">
      <w:pPr>
        <w:spacing w:after="240"/>
        <w:jc w:val="center"/>
        <w:rPr>
          <w:lang w:val="el-GR"/>
        </w:rPr>
      </w:pPr>
      <w:r>
        <w:rPr>
          <w:b/>
          <w:bCs/>
          <w:color w:val="555555"/>
          <w:sz w:val="19"/>
          <w:szCs w:val="19"/>
          <w:lang w:val="el-GR"/>
        </w:rPr>
        <w:t xml:space="preserve">Γράφημα 5. </w:t>
      </w:r>
      <w:r>
        <w:rPr>
          <w:i/>
          <w:iCs/>
          <w:color w:val="555555"/>
          <w:sz w:val="19"/>
          <w:szCs w:val="19"/>
          <w:lang w:val="el-GR"/>
        </w:rPr>
        <w:t>Ποιότητα ζωής των γυναικών ανά τομέα, με και χωρίς πιθανή ΔΜΤΣ (</w:t>
      </w:r>
      <w:r>
        <w:rPr>
          <w:i/>
          <w:iCs/>
          <w:color w:val="555555"/>
          <w:sz w:val="19"/>
          <w:szCs w:val="19"/>
        </w:rPr>
        <w:t>WHOQOL</w:t>
      </w:r>
      <w:r>
        <w:rPr>
          <w:i/>
          <w:iCs/>
          <w:color w:val="555555"/>
          <w:sz w:val="19"/>
          <w:szCs w:val="19"/>
          <w:lang w:val="el-GR"/>
        </w:rPr>
        <w:t>-</w:t>
      </w:r>
      <w:r>
        <w:rPr>
          <w:i/>
          <w:iCs/>
          <w:color w:val="555555"/>
          <w:sz w:val="19"/>
          <w:szCs w:val="19"/>
        </w:rPr>
        <w:t>BREF</w:t>
      </w:r>
      <w:r>
        <w:rPr>
          <w:i/>
          <w:iCs/>
          <w:color w:val="555555"/>
          <w:sz w:val="19"/>
          <w:szCs w:val="19"/>
          <w:lang w:val="el-GR"/>
        </w:rPr>
        <w:t>, 0–100).</w:t>
      </w:r>
    </w:p>
    <w:p w14:paraId="27F749D6" w14:textId="77777777" w:rsidR="00E63D5B" w:rsidRPr="00132066" w:rsidRDefault="001F059D">
      <w:pPr>
        <w:rPr>
          <w:lang w:val="el-GR"/>
        </w:rPr>
      </w:pPr>
      <w:r>
        <w:rPr>
          <w:lang w:val="el-GR"/>
        </w:rPr>
        <w:t xml:space="preserve">Όσο μεγαλύτερη ήταν η έκθεση των γυναικών στη βία, τόσο εντονότερα ήταν τα </w:t>
      </w:r>
      <w:proofErr w:type="spellStart"/>
      <w:r>
        <w:rPr>
          <w:lang w:val="el-GR"/>
        </w:rPr>
        <w:t>μετατραυματικά</w:t>
      </w:r>
      <w:proofErr w:type="spellEnd"/>
      <w:r>
        <w:rPr>
          <w:lang w:val="el-GR"/>
        </w:rPr>
        <w:t xml:space="preserve"> και τα καταθλιπτικά τους συμπτώματα και τόσο υψηλότερο το στρες τους, με την ισχυρότερη σύνδεση να αφορά την αίσθηση </w:t>
      </w:r>
      <w:proofErr w:type="spellStart"/>
      <w:r>
        <w:rPr>
          <w:lang w:val="el-GR"/>
        </w:rPr>
        <w:t>αβοηθητότητας</w:t>
      </w:r>
      <w:proofErr w:type="spellEnd"/>
      <w:r>
        <w:rPr>
          <w:lang w:val="el-GR"/>
        </w:rPr>
        <w:t xml:space="preserve">. Αντίθετα, η βία δεν συνδέθηκε στατιστικά με την έλλειψη </w:t>
      </w:r>
      <w:proofErr w:type="spellStart"/>
      <w:r>
        <w:rPr>
          <w:lang w:val="el-GR"/>
        </w:rPr>
        <w:t>αυτοαποτελεσματικότητας</w:t>
      </w:r>
      <w:proofErr w:type="spellEnd"/>
      <w:r>
        <w:rPr>
          <w:lang w:val="el-GR"/>
        </w:rPr>
        <w:t xml:space="preserve">: οι γυναίκες που βίωναν περισσότερη βία ένιωθαν ότι δεν ελέγχουν τη ζωή τους, αλλά όχι απαραίτητα ότι είναι ανίκανες να </w:t>
      </w:r>
      <w:proofErr w:type="spellStart"/>
      <w:r>
        <w:rPr>
          <w:lang w:val="el-GR"/>
        </w:rPr>
        <w:t>αντεπεξέλθουν</w:t>
      </w:r>
      <w:proofErr w:type="spellEnd"/>
      <w:r>
        <w:rPr>
          <w:lang w:val="el-GR"/>
        </w:rPr>
        <w:t xml:space="preserve">. Η μεγαλύτερη έκθεση στη βία </w:t>
      </w:r>
      <w:r>
        <w:rPr>
          <w:lang w:val="el-GR"/>
        </w:rPr>
        <w:lastRenderedPageBreak/>
        <w:t>συνδέθηκε επίσης με χαμηλότερη σωματική και ψυχολογική υγεία, δυσμενέστερη αξιολόγηση του περιβάλλοντος και χαμηλότερη συνολική ποιότητα ζωής.</w:t>
      </w:r>
    </w:p>
    <w:p w14:paraId="54D85B9A" w14:textId="77777777" w:rsidR="00E63D5B" w:rsidRPr="00132066" w:rsidRDefault="001F059D">
      <w:pPr>
        <w:rPr>
          <w:lang w:val="el-GR"/>
        </w:rPr>
      </w:pPr>
      <w:r>
        <w:rPr>
          <w:lang w:val="el-GR"/>
        </w:rPr>
        <w:t xml:space="preserve">Η σύνδεση του τραύματος με τους υπόλοιπους δείκτες ήταν ακόμη ισχυρότερη: τα </w:t>
      </w:r>
      <w:proofErr w:type="spellStart"/>
      <w:r>
        <w:rPr>
          <w:lang w:val="el-GR"/>
        </w:rPr>
        <w:t>μετατραυματικά</w:t>
      </w:r>
      <w:proofErr w:type="spellEnd"/>
      <w:r>
        <w:rPr>
          <w:lang w:val="el-GR"/>
        </w:rPr>
        <w:t xml:space="preserve"> συμπτώματα συσχετίστηκαν πολύ ισχυρά με την κατάθλιψη και ισχυρά με το στρες, και αρνητικά με όλους τους τομείς της ποιότητας ζωής, ιδίως την ψυχολογική και τη σωματική υγεία. Οι αρνητικές σκέψεις/διάθεση και η υπερδιέγερση ήταν οι διαστάσεις του τραύματος που «βάραιναν» περισσότερο, ενώ η αποφυγή είχε τις ασθενέστερες σχέσεις.</w:t>
      </w:r>
    </w:p>
    <w:tbl>
      <w:tblPr>
        <w:tblStyle w:val="affb"/>
        <w:tblW w:w="9072" w:type="dxa"/>
        <w:jc w:val="center"/>
        <w:tblLayout w:type="fixed"/>
        <w:tblLook w:val="0400" w:firstRow="0" w:lastRow="0" w:firstColumn="0" w:lastColumn="0" w:noHBand="0" w:noVBand="1"/>
      </w:tblPr>
      <w:tblGrid>
        <w:gridCol w:w="9072"/>
      </w:tblGrid>
      <w:tr w:rsidR="00E63D5B" w:rsidRPr="00D84B1E" w14:paraId="0F889C07" w14:textId="77777777">
        <w:trPr>
          <w:tblHeader/>
          <w:jc w:val="center"/>
        </w:trPr>
        <w:tc>
          <w:tcPr>
            <w:tcW w:w="9072" w:type="dxa"/>
            <w:tcBorders>
              <w:top w:val="single" w:sz="6" w:space="0" w:color="B7C7DE"/>
              <w:left w:val="single" w:sz="6" w:space="0" w:color="B7C7DE"/>
              <w:bottom w:val="single" w:sz="6" w:space="0" w:color="B7C7DE"/>
              <w:right w:val="single" w:sz="6" w:space="0" w:color="B7C7DE"/>
            </w:tcBorders>
            <w:shd w:val="clear" w:color="auto" w:fill="EEF2F8"/>
          </w:tcPr>
          <w:p w14:paraId="0B3EFA04" w14:textId="77777777" w:rsidR="00E63D5B" w:rsidRPr="00132066" w:rsidRDefault="001F059D">
            <w:pPr>
              <w:spacing w:after="80" w:line="264" w:lineRule="auto"/>
              <w:jc w:val="left"/>
              <w:rPr>
                <w:lang w:val="el-GR"/>
              </w:rPr>
            </w:pPr>
            <w:r>
              <w:rPr>
                <w:b/>
                <w:bCs/>
                <w:lang w:val="el-GR"/>
              </w:rPr>
              <w:t>Σημασία των ευρημάτων: η ψυχική υγεία</w:t>
            </w:r>
          </w:p>
          <w:p w14:paraId="0A0A217B" w14:textId="54510950" w:rsidR="00E63D5B" w:rsidRPr="00132066" w:rsidRDefault="001F059D">
            <w:pPr>
              <w:spacing w:after="80" w:line="264" w:lineRule="auto"/>
              <w:jc w:val="left"/>
              <w:rPr>
                <w:lang w:val="el-GR"/>
              </w:rPr>
            </w:pPr>
            <w:r>
              <w:rPr>
                <w:lang w:val="el-GR"/>
              </w:rPr>
              <w:t xml:space="preserve">Το τραύμα δεν είναι μία από τις συνέπειες της βίας είναι ο κεντρικός άξονας γύρω από τον οποίο οργανώνεται η ψυχική, σωματική και κοινωνική επιβάρυνση. Δύο στις τρεις γυναίκες που απευθύνονται στις δομές φέρουν πιθανή ΔΜΤΣ. Η επίδραση της βίας στην ψυχική υγεία </w:t>
            </w:r>
            <w:proofErr w:type="spellStart"/>
            <w:r>
              <w:rPr>
                <w:lang w:val="el-GR"/>
              </w:rPr>
              <w:t>διαμεσολαβείται</w:t>
            </w:r>
            <w:proofErr w:type="spellEnd"/>
            <w:r>
              <w:rPr>
                <w:lang w:val="el-GR"/>
              </w:rPr>
              <w:t xml:space="preserve"> κυρίως από την αίσθηση απώλειας ελέγχου.</w:t>
            </w:r>
          </w:p>
          <w:p w14:paraId="41B31DBC" w14:textId="77777777" w:rsidR="00E63D5B" w:rsidRPr="00132066" w:rsidRDefault="001F059D">
            <w:pPr>
              <w:spacing w:after="80" w:line="264" w:lineRule="auto"/>
              <w:jc w:val="left"/>
              <w:rPr>
                <w:lang w:val="el-GR"/>
              </w:rPr>
            </w:pPr>
            <w:r>
              <w:rPr>
                <w:lang w:val="el-GR"/>
              </w:rPr>
              <w:t>Η αίσθηση αυτή αποτελεί το ψυχολογικό αποτύπωμα του εξαναγκαστικού ελέγχου (</w:t>
            </w:r>
            <w:r>
              <w:t>Stark</w:t>
            </w:r>
            <w:r>
              <w:rPr>
                <w:lang w:val="el-GR"/>
              </w:rPr>
              <w:t>, 2007) και όχι ένδειξη ατομικής αδυναμίας. Οι κοινωνικές σχέσεις είναι ο πιο επιβαρυμένος τομέας της ζωής, εύρημα που συνδέεται με την απομόνωση ως τακτική του δράστη. Οι υπηρεσίες χρειάζεται να αξιολογούν συστηματικά το τραύμα και όχι μόνο την κατάθλιψη ή το άγχος, και να σχεδιάζουν παρεμβάσεις που αποκαθιστούν την αίσθηση ελέγχου και τις κοινωνικές συνδέσεις.</w:t>
            </w:r>
          </w:p>
        </w:tc>
      </w:tr>
    </w:tbl>
    <w:p w14:paraId="06D66D25" w14:textId="77777777" w:rsidR="00E63D5B" w:rsidRPr="00132066" w:rsidRDefault="00E63D5B">
      <w:pPr>
        <w:spacing w:after="40"/>
        <w:rPr>
          <w:lang w:val="el-GR"/>
        </w:rPr>
      </w:pPr>
    </w:p>
    <w:p w14:paraId="6B25EB8C" w14:textId="580B158F" w:rsidR="00E63D5B" w:rsidRPr="00132066" w:rsidRDefault="001F059D">
      <w:pPr>
        <w:pStyle w:val="20"/>
        <w:rPr>
          <w:lang w:val="el-GR"/>
        </w:rPr>
      </w:pPr>
      <w:bookmarkStart w:id="40" w:name="_Toc242134445"/>
      <w:r>
        <w:rPr>
          <w:lang w:val="el-GR"/>
        </w:rPr>
        <w:t xml:space="preserve">6.4 Πρώιμο τραύμα και </w:t>
      </w:r>
      <w:proofErr w:type="spellStart"/>
      <w:r>
        <w:rPr>
          <w:lang w:val="el-GR"/>
        </w:rPr>
        <w:t>γον</w:t>
      </w:r>
      <w:r w:rsidR="00F56A84">
        <w:rPr>
          <w:lang w:val="el-GR"/>
        </w:rPr>
        <w:t>εϊ</w:t>
      </w:r>
      <w:r>
        <w:rPr>
          <w:lang w:val="el-GR"/>
        </w:rPr>
        <w:t>κός</w:t>
      </w:r>
      <w:proofErr w:type="spellEnd"/>
      <w:r>
        <w:rPr>
          <w:lang w:val="el-GR"/>
        </w:rPr>
        <w:t xml:space="preserve"> δεσμός</w:t>
      </w:r>
      <w:bookmarkEnd w:id="40"/>
    </w:p>
    <w:p w14:paraId="28CA4229" w14:textId="77777777" w:rsidR="00E63D5B" w:rsidRPr="000B7AA5" w:rsidRDefault="001F059D">
      <w:pPr>
        <w:rPr>
          <w:lang w:val="el-GR"/>
        </w:rPr>
      </w:pPr>
      <w:r>
        <w:rPr>
          <w:lang w:val="el-GR"/>
        </w:rPr>
        <w:t>Το Ερωτηματολόγιο Πρώιμου Τραύματος (ETI), που καταγράφει τις τραυματικές εμπειρίες πριν από τα 18 έτη σε τέσσερις τομείς, δηλαδή το γενικό τραύμα (ατυχήματα, απώλειες, μαρτυρία βίας) και τη σωματική, τη συναισθηματική και τη σεξουαλική κακοποίηση, αποκάλυψε ιδιαίτερα υψηλά ποσοστά τραυματικών εμπειριών στην παιδική ηλικία των συμμετεχουσών. Το 85,2% ανέφερε τουλάχιστον ένα γενικό τραυματικό γεγονός (π.χ. σοβαρό ατύχημα ή ασθένεια, απώλεια, διαζύγιο γονέων, μαρτυρία βίας προς άλλους), το 80,7% σωματική κακοποίηση, το 76,4% συναισθηματική κακοποίηση και το 42,9% σεξουαλική κακοποίηση. Το 83,7% είχε βιώσει δύο ή περισσότερες από τις τέσσερις μορφές, και σχεδόν μία στις τρεις (32,6%) και τις τέσσερις. Η συναισθηματική κακοποίηση, παρότι όχι η συχνότερη, είχε τον πιο επαναλαμβανόμενο χαρακτήρα.</w:t>
      </w:r>
    </w:p>
    <w:p w14:paraId="7258F2BD" w14:textId="77777777" w:rsidR="00E63D5B" w:rsidRDefault="001F059D">
      <w:pPr>
        <w:keepNext/>
        <w:jc w:val="center"/>
      </w:pPr>
      <w:r>
        <w:rPr>
          <w:noProof/>
          <w:lang w:val="el-GR"/>
        </w:rPr>
        <w:drawing>
          <wp:inline distT="0" distB="0" distL="0" distR="0" wp14:anchorId="3CB01EBE" wp14:editId="4B983125">
            <wp:extent cx="5580000" cy="2451227"/>
            <wp:effectExtent l="0" t="0" r="0" b="0"/>
            <wp:docPr id="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5580000" cy="2451227"/>
                    </a:xfrm>
                    <a:prstGeom prst="rect">
                      <a:avLst/>
                    </a:prstGeom>
                    <a:ln/>
                  </pic:spPr>
                </pic:pic>
              </a:graphicData>
            </a:graphic>
          </wp:inline>
        </w:drawing>
      </w:r>
    </w:p>
    <w:p w14:paraId="59652050" w14:textId="77777777" w:rsidR="00E63D5B" w:rsidRPr="00132066" w:rsidRDefault="001F059D">
      <w:pPr>
        <w:spacing w:after="240"/>
        <w:jc w:val="center"/>
        <w:rPr>
          <w:lang w:val="el-GR"/>
        </w:rPr>
      </w:pPr>
      <w:r>
        <w:rPr>
          <w:b/>
          <w:bCs/>
          <w:color w:val="555555"/>
          <w:sz w:val="19"/>
          <w:szCs w:val="19"/>
          <w:lang w:val="el-GR"/>
        </w:rPr>
        <w:t xml:space="preserve">Γράφημα 6. </w:t>
      </w:r>
      <w:r>
        <w:rPr>
          <w:i/>
          <w:iCs/>
          <w:color w:val="555555"/>
          <w:sz w:val="19"/>
          <w:szCs w:val="19"/>
          <w:lang w:val="el-GR"/>
        </w:rPr>
        <w:t>Ποσοστό γυναικών που ανέφεραν τραυματικές εμπειρίες πριν από την ηλικία των 18 ετών, ανά κατηγορία (</w:t>
      </w:r>
      <w:r>
        <w:rPr>
          <w:i/>
          <w:iCs/>
          <w:color w:val="555555"/>
          <w:sz w:val="19"/>
          <w:szCs w:val="19"/>
        </w:rPr>
        <w:t>ETI</w:t>
      </w:r>
      <w:r>
        <w:rPr>
          <w:i/>
          <w:iCs/>
          <w:color w:val="555555"/>
          <w:sz w:val="19"/>
          <w:szCs w:val="19"/>
          <w:lang w:val="el-GR"/>
        </w:rPr>
        <w:t>).</w:t>
      </w:r>
    </w:p>
    <w:p w14:paraId="17958D62" w14:textId="77777777" w:rsidR="00E63D5B" w:rsidRPr="00132066" w:rsidRDefault="001F059D">
      <w:pPr>
        <w:rPr>
          <w:lang w:val="el-GR"/>
        </w:rPr>
      </w:pPr>
      <w:r>
        <w:rPr>
          <w:lang w:val="el-GR"/>
        </w:rPr>
        <w:lastRenderedPageBreak/>
        <w:t>Οι γυναίκες με πιθανή ΔΜΤΣ είχαν βιώσει περισσότερες τραυματικές εμπειρίες στην παιδική ηλικία, ιδίως σωματική και συναισθηματική κακοποίηση, και ανέφεραν εντονότερη τραυματική απόκριση σε αυτές. Ως προς τη σεξουαλική κακοποίηση δεν προέκυψε διαφορά. Όταν εξετάστηκαν μία προς μία οι 27 εμπειρίες του ερωτηματολογίου, εκείνες που συνδέθηκαν με αυξημένη πιθανότητα ΔΜΤΣ στην ενήλικη ζωή ήταν σχεδόν αποκλειστικά διαπροσωπικές: το γρονθοκόπημα ή η κλωτσιά, το χτύπημα με αντικείμενο, το σπρώξιμο, το χαστούκι, η συχνή παραμέληση ή η αίσθηση απαξίωσης (η ισχυρότερη σύνδεση: 72,5% έναντι 52,4% πιθανή ΔΜΤΣ), η συχνή υποτίμηση των ικανοτήτων, ο εξαναγκασμός σε συνουσία (90,5% έναντι 60,3%) και η μαρτυρία βίας προς άλλους ή προς μέλη της οικογένειας. Αντίθετα, οι φυσικές καταστροφές, τα ατυχήματα, οι σοβαρές ασθένειες και οι απώλειες σημαντικών προσώπων δεν συνδέθηκαν με πιθανή ΔΜΤΣ.</w:t>
      </w:r>
    </w:p>
    <w:p w14:paraId="5F5DA6CA" w14:textId="5C736E65" w:rsidR="00E63D5B" w:rsidRPr="000B7AA5" w:rsidRDefault="001F059D">
      <w:pPr>
        <w:rPr>
          <w:lang w:val="el-GR"/>
        </w:rPr>
      </w:pPr>
      <w:r>
        <w:rPr>
          <w:lang w:val="el-GR"/>
        </w:rPr>
        <w:t xml:space="preserve">Ο </w:t>
      </w:r>
      <w:proofErr w:type="spellStart"/>
      <w:r>
        <w:rPr>
          <w:lang w:val="el-GR"/>
        </w:rPr>
        <w:t>γον</w:t>
      </w:r>
      <w:r w:rsidR="00F56A84">
        <w:rPr>
          <w:lang w:val="el-GR"/>
        </w:rPr>
        <w:t>εϊ</w:t>
      </w:r>
      <w:r>
        <w:rPr>
          <w:lang w:val="el-GR"/>
        </w:rPr>
        <w:t>κός</w:t>
      </w:r>
      <w:proofErr w:type="spellEnd"/>
      <w:r>
        <w:rPr>
          <w:lang w:val="el-GR"/>
        </w:rPr>
        <w:t xml:space="preserve"> δεσμός, όπως μετρήθηκε με το Ερωτηματολόγιο Γονεϊκού Δεσμού (PBI), αφορά το πώς θυμούνται οι γυναίκες τη μητέρα και τον πατέρα τους ως προς τη φροντίδα και την υπερπροστασία που τους παρείχαν. Στο σύνολο του δείγματος οι αναφορές ήταν παρόμοιες για τους δύο γονείς. Απροσδόκητα, οι γυναίκες με πιθανή ΔΜΤΣ θυμούνταν περισσότερη μητρική φροντίδα και λιγότερη μητρική υπερπροστασία από εκείνες χωρίς ΔΜΤΣ, ενώ δεν υπήρξαν διαφορές ως προς τον πατέρα. Το PBI είναι αναδρομικό εργαλείο και οι απαντήσεις επηρεάζονται από τη σημερινή συναισθηματική κατάσταση, ενώ η φροντίδα μιας μητέρας μπορεί να συνυπήρχε με βία από άλλα πρόσωπα. </w:t>
      </w:r>
      <w:proofErr w:type="spellStart"/>
      <w:r>
        <w:rPr>
          <w:lang w:val="el-GR"/>
        </w:rPr>
        <w:t>Μετα</w:t>
      </w:r>
      <w:proofErr w:type="spellEnd"/>
      <w:r>
        <w:rPr>
          <w:lang w:val="el-GR"/>
        </w:rPr>
        <w:t>-αναλυτικά δεδομένα άλλωστε δεν δείχνουν σταθερές διαφορές γονικού δεσμού μεταξύ ατόμων με και χωρίς ΔΜΤΣ (</w:t>
      </w:r>
      <w:proofErr w:type="spellStart"/>
      <w:r>
        <w:rPr>
          <w:lang w:val="el-GR"/>
        </w:rPr>
        <w:t>Kidd</w:t>
      </w:r>
      <w:proofErr w:type="spellEnd"/>
      <w:r>
        <w:rPr>
          <w:lang w:val="el-GR"/>
        </w:rPr>
        <w:t xml:space="preserve"> </w:t>
      </w:r>
      <w:proofErr w:type="spellStart"/>
      <w:r>
        <w:rPr>
          <w:lang w:val="el-GR"/>
        </w:rPr>
        <w:t>et</w:t>
      </w:r>
      <w:proofErr w:type="spellEnd"/>
      <w:r>
        <w:rPr>
          <w:lang w:val="el-GR"/>
        </w:rPr>
        <w:t xml:space="preserve"> </w:t>
      </w:r>
      <w:proofErr w:type="spellStart"/>
      <w:r>
        <w:rPr>
          <w:lang w:val="el-GR"/>
        </w:rPr>
        <w:t>al</w:t>
      </w:r>
      <w:proofErr w:type="spellEnd"/>
      <w:r>
        <w:rPr>
          <w:lang w:val="el-GR"/>
        </w:rPr>
        <w:t>., 2022).</w:t>
      </w:r>
    </w:p>
    <w:tbl>
      <w:tblPr>
        <w:tblStyle w:val="affc"/>
        <w:tblW w:w="9072" w:type="dxa"/>
        <w:jc w:val="center"/>
        <w:tblLayout w:type="fixed"/>
        <w:tblLook w:val="0400" w:firstRow="0" w:lastRow="0" w:firstColumn="0" w:lastColumn="0" w:noHBand="0" w:noVBand="1"/>
      </w:tblPr>
      <w:tblGrid>
        <w:gridCol w:w="9072"/>
      </w:tblGrid>
      <w:tr w:rsidR="00E63D5B" w:rsidRPr="00D84B1E" w14:paraId="410DB4FD" w14:textId="77777777">
        <w:trPr>
          <w:cantSplit/>
          <w:tblHeader/>
          <w:jc w:val="center"/>
        </w:trPr>
        <w:tc>
          <w:tcPr>
            <w:tcW w:w="9072" w:type="dxa"/>
            <w:tcBorders>
              <w:top w:val="single" w:sz="6" w:space="0" w:color="B7C7DE"/>
              <w:left w:val="single" w:sz="6" w:space="0" w:color="B7C7DE"/>
              <w:bottom w:val="single" w:sz="6" w:space="0" w:color="B7C7DE"/>
              <w:right w:val="single" w:sz="6" w:space="0" w:color="B7C7DE"/>
            </w:tcBorders>
            <w:shd w:val="clear" w:color="auto" w:fill="EEF2F8"/>
          </w:tcPr>
          <w:p w14:paraId="26D48A72" w14:textId="77777777" w:rsidR="00E63D5B" w:rsidRPr="00132066" w:rsidRDefault="001F059D">
            <w:pPr>
              <w:spacing w:after="80" w:line="264" w:lineRule="auto"/>
              <w:jc w:val="left"/>
              <w:rPr>
                <w:lang w:val="el-GR"/>
              </w:rPr>
            </w:pPr>
            <w:r>
              <w:rPr>
                <w:b/>
                <w:bCs/>
                <w:lang w:val="el-GR"/>
              </w:rPr>
              <w:t>Σημασία των ευρημάτων: το πρώιμο τραύμα</w:t>
            </w:r>
          </w:p>
          <w:p w14:paraId="42D002F1" w14:textId="77777777" w:rsidR="00E63D5B" w:rsidRPr="00132066" w:rsidRDefault="001F059D" w:rsidP="00411231">
            <w:pPr>
              <w:spacing w:after="80" w:line="264" w:lineRule="auto"/>
              <w:jc w:val="left"/>
              <w:rPr>
                <w:lang w:val="el-GR"/>
              </w:rPr>
            </w:pPr>
            <w:r>
              <w:rPr>
                <w:lang w:val="el-GR"/>
              </w:rPr>
              <w:t>Η ενδοοικογενειακή βία στην ενήλικη ζωή σπάνια αποτελεί την πρώτη τραυματική εμπειρία: το 80% των γυναικών έχει ιστορικό σωματικής ή συναισθηματικής κακοποίησης στην παιδική ηλικία και τέσσερις στις δέκα σεξουαλικής. Οι αντιξοότητες δεν έχουν ισοδύναμη βαρύτητα. Το τραύμα που συνδέεται με τη μεταγενέστερη ΔΜΤΣ είναι το τραύμα της διαπροσωπικής προδοσίας (</w:t>
            </w:r>
            <w:r>
              <w:t>Freyd</w:t>
            </w:r>
            <w:r>
              <w:rPr>
                <w:lang w:val="el-GR"/>
              </w:rPr>
              <w:t xml:space="preserve">, 1996): η κακοποίηση και η απαξίωση από πρόσωπα που όφειλαν να προστατεύουν. Τα ατυχήματα και οι απώλειες δεν αφήνουν αντίστοιχο αποτύπωμα. Αυτό είναι το πρώτο, ποσοτικό, ίχνος της </w:t>
            </w:r>
            <w:proofErr w:type="spellStart"/>
            <w:r>
              <w:rPr>
                <w:lang w:val="el-GR"/>
              </w:rPr>
              <w:t>διαγενεακής</w:t>
            </w:r>
            <w:proofErr w:type="spellEnd"/>
            <w:r>
              <w:rPr>
                <w:lang w:val="el-GR"/>
              </w:rPr>
              <w:t xml:space="preserve"> συνέχειας: η βία στην ενήλικη ζωή συχνά </w:t>
            </w:r>
            <w:proofErr w:type="spellStart"/>
            <w:r>
              <w:rPr>
                <w:lang w:val="el-GR"/>
              </w:rPr>
              <w:t>επανενεργοποιεί</w:t>
            </w:r>
            <w:proofErr w:type="spellEnd"/>
            <w:r>
              <w:rPr>
                <w:lang w:val="el-GR"/>
              </w:rPr>
              <w:t xml:space="preserve"> σχεσιακά μοτίβα που διαμορφώθηκαν νωρίς.</w:t>
            </w:r>
          </w:p>
        </w:tc>
      </w:tr>
    </w:tbl>
    <w:p w14:paraId="45E514CB" w14:textId="77777777" w:rsidR="00E63D5B" w:rsidRPr="00132066" w:rsidRDefault="00E63D5B">
      <w:pPr>
        <w:spacing w:after="40"/>
        <w:rPr>
          <w:lang w:val="el-GR"/>
        </w:rPr>
      </w:pPr>
    </w:p>
    <w:p w14:paraId="005B8325" w14:textId="75FEA3CF" w:rsidR="00E63D5B" w:rsidRPr="00132066" w:rsidRDefault="001F059D">
      <w:pPr>
        <w:pStyle w:val="20"/>
        <w:rPr>
          <w:lang w:val="el-GR"/>
        </w:rPr>
      </w:pPr>
      <w:bookmarkStart w:id="41" w:name="_Toc242134446"/>
      <w:r>
        <w:rPr>
          <w:lang w:val="el-GR"/>
        </w:rPr>
        <w:t xml:space="preserve">6.5 </w:t>
      </w:r>
      <w:proofErr w:type="spellStart"/>
      <w:r>
        <w:rPr>
          <w:lang w:val="el-GR"/>
        </w:rPr>
        <w:t>Γον</w:t>
      </w:r>
      <w:r w:rsidR="00F56A84">
        <w:rPr>
          <w:lang w:val="el-GR"/>
        </w:rPr>
        <w:t>εϊ</w:t>
      </w:r>
      <w:r>
        <w:rPr>
          <w:lang w:val="el-GR"/>
        </w:rPr>
        <w:t>κές</w:t>
      </w:r>
      <w:proofErr w:type="spellEnd"/>
      <w:r>
        <w:rPr>
          <w:lang w:val="el-GR"/>
        </w:rPr>
        <w:t xml:space="preserve"> πρακτικές των μητέρων</w:t>
      </w:r>
      <w:bookmarkEnd w:id="41"/>
    </w:p>
    <w:p w14:paraId="51C2DC49" w14:textId="6E2C19F9" w:rsidR="00E63D5B" w:rsidRPr="000B7AA5" w:rsidRDefault="001F059D">
      <w:pPr>
        <w:rPr>
          <w:lang w:val="el-GR"/>
        </w:rPr>
      </w:pPr>
      <w:r>
        <w:rPr>
          <w:lang w:val="el-GR"/>
        </w:rPr>
        <w:t xml:space="preserve">Οι μητέρες αξιολόγησαν τις δικές τους </w:t>
      </w:r>
      <w:proofErr w:type="spellStart"/>
      <w:r>
        <w:rPr>
          <w:lang w:val="el-GR"/>
        </w:rPr>
        <w:t>γον</w:t>
      </w:r>
      <w:r w:rsidR="00F56A84">
        <w:rPr>
          <w:lang w:val="el-GR"/>
        </w:rPr>
        <w:t>εϊ</w:t>
      </w:r>
      <w:r>
        <w:rPr>
          <w:lang w:val="el-GR"/>
        </w:rPr>
        <w:t>κές</w:t>
      </w:r>
      <w:proofErr w:type="spellEnd"/>
      <w:r>
        <w:rPr>
          <w:lang w:val="el-GR"/>
        </w:rPr>
        <w:t xml:space="preserve"> πρακτικές με το Ερωτηματολόγιο Γονικής Συμπεριφοράς (PBQ), 30 δηλώσεων που αποτυπώνουν πέντε διαστάσεις: τη ζεστασιά, την απόρριψη, την αγχώδη ανατροφή, την υπερπροστασία και τον άκριτο έπαινο. Στο σύνολο, η ζεστασιά ήταν η πιο έντονη διάσταση (πάνω από το 80% της μέγιστης βαθμολογίας) και η απόρριψη η λιγότερο έντονη (γύρω στο 23%). Οι μητέρες με πιθανή ΔΜΤΣ ανέφεραν σημαντικά περισσότερο υπερπροστατευτικές και αγχώδεις πρακτικές (π.χ. διαρκής ανησυχία για το τι μπορεί να συμβεί στο παιδί, άμεση αντίληψη κινδύνων σε κάθε νέα δραστηριότητα) από τις μητέρες χωρίς ΔΜΤΣ, με μέτριο μέγεθος διαφοράς. Δεν διέφεραν, ωστόσο, ως προς τη συναισθηματική ζεστασιά, την απόρριψη ή τον άκριτο έπαινο.</w:t>
      </w:r>
    </w:p>
    <w:p w14:paraId="3B89BF0D" w14:textId="05FAD3FD" w:rsidR="00E63D5B" w:rsidRPr="00132066" w:rsidRDefault="001F059D">
      <w:pPr>
        <w:rPr>
          <w:lang w:val="el-GR"/>
        </w:rPr>
      </w:pPr>
      <w:r>
        <w:rPr>
          <w:lang w:val="el-GR"/>
        </w:rPr>
        <w:t xml:space="preserve">Επιπλέον, η έκθεση των μητέρων στη βία δεν συνδέθηκε με κανένα συγκεκριμένο μοτίβο </w:t>
      </w:r>
      <w:proofErr w:type="spellStart"/>
      <w:r>
        <w:rPr>
          <w:lang w:val="el-GR"/>
        </w:rPr>
        <w:t>γον</w:t>
      </w:r>
      <w:r w:rsidR="00F56A84">
        <w:rPr>
          <w:lang w:val="el-GR"/>
        </w:rPr>
        <w:t>εϊ</w:t>
      </w:r>
      <w:r>
        <w:rPr>
          <w:lang w:val="el-GR"/>
        </w:rPr>
        <w:t>κών</w:t>
      </w:r>
      <w:proofErr w:type="spellEnd"/>
      <w:r>
        <w:rPr>
          <w:lang w:val="el-GR"/>
        </w:rPr>
        <w:t xml:space="preserve"> πρακτικών, ούτε στις δικές τους αναφορές ούτε στις αναφορές των εφήβων για τη μητέρα τους (στους τελευταίους υπήρξαν μικρές, μη στατιστικώς σημαντικές ενδείξεις, σε πολύ μικρό </w:t>
      </w:r>
      <w:proofErr w:type="spellStart"/>
      <w:r>
        <w:rPr>
          <w:lang w:val="el-GR"/>
        </w:rPr>
        <w:t>υποδείγμα</w:t>
      </w:r>
      <w:proofErr w:type="spellEnd"/>
      <w:r>
        <w:rPr>
          <w:lang w:val="el-GR"/>
        </w:rPr>
        <w:t>).</w:t>
      </w:r>
    </w:p>
    <w:tbl>
      <w:tblPr>
        <w:tblStyle w:val="affd"/>
        <w:tblW w:w="9072" w:type="dxa"/>
        <w:jc w:val="center"/>
        <w:tblLayout w:type="fixed"/>
        <w:tblLook w:val="0400" w:firstRow="0" w:lastRow="0" w:firstColumn="0" w:lastColumn="0" w:noHBand="0" w:noVBand="1"/>
      </w:tblPr>
      <w:tblGrid>
        <w:gridCol w:w="9072"/>
      </w:tblGrid>
      <w:tr w:rsidR="00E63D5B" w:rsidRPr="00D84B1E" w14:paraId="678D6DEC" w14:textId="77777777">
        <w:trPr>
          <w:cantSplit/>
          <w:tblHeader/>
          <w:jc w:val="center"/>
        </w:trPr>
        <w:tc>
          <w:tcPr>
            <w:tcW w:w="9072" w:type="dxa"/>
            <w:tcBorders>
              <w:top w:val="single" w:sz="6" w:space="0" w:color="B7C7DE"/>
              <w:left w:val="single" w:sz="6" w:space="0" w:color="B7C7DE"/>
              <w:bottom w:val="single" w:sz="6" w:space="0" w:color="B7C7DE"/>
              <w:right w:val="single" w:sz="6" w:space="0" w:color="B7C7DE"/>
            </w:tcBorders>
            <w:shd w:val="clear" w:color="auto" w:fill="EEF2F8"/>
          </w:tcPr>
          <w:p w14:paraId="2E73387B" w14:textId="66B5BE30" w:rsidR="00E63D5B" w:rsidRPr="00F56A84" w:rsidRDefault="001F059D">
            <w:pPr>
              <w:spacing w:after="80" w:line="264" w:lineRule="auto"/>
              <w:jc w:val="left"/>
              <w:rPr>
                <w:b/>
                <w:bCs/>
                <w:lang w:val="el-GR"/>
              </w:rPr>
            </w:pPr>
            <w:r>
              <w:rPr>
                <w:b/>
                <w:bCs/>
                <w:lang w:val="el-GR"/>
              </w:rPr>
              <w:lastRenderedPageBreak/>
              <w:t xml:space="preserve">Σημασία των ευρημάτων: οι </w:t>
            </w:r>
            <w:proofErr w:type="spellStart"/>
            <w:r>
              <w:rPr>
                <w:b/>
                <w:bCs/>
                <w:lang w:val="el-GR"/>
              </w:rPr>
              <w:t>γον</w:t>
            </w:r>
            <w:r w:rsidR="00F56A84">
              <w:rPr>
                <w:b/>
                <w:bCs/>
                <w:lang w:val="el-GR"/>
              </w:rPr>
              <w:t>εϊ</w:t>
            </w:r>
            <w:r>
              <w:rPr>
                <w:b/>
                <w:bCs/>
                <w:lang w:val="el-GR"/>
              </w:rPr>
              <w:t>κές</w:t>
            </w:r>
            <w:proofErr w:type="spellEnd"/>
            <w:r>
              <w:rPr>
                <w:b/>
                <w:bCs/>
                <w:lang w:val="el-GR"/>
              </w:rPr>
              <w:t xml:space="preserve"> πρακτικές</w:t>
            </w:r>
          </w:p>
          <w:p w14:paraId="154A8999" w14:textId="77777777" w:rsidR="00E63D5B" w:rsidRPr="00132066" w:rsidRDefault="001F059D">
            <w:pPr>
              <w:spacing w:after="80" w:line="264" w:lineRule="auto"/>
              <w:jc w:val="left"/>
              <w:rPr>
                <w:lang w:val="el-GR"/>
              </w:rPr>
            </w:pPr>
            <w:r>
              <w:rPr>
                <w:lang w:val="el-GR"/>
              </w:rPr>
              <w:t xml:space="preserve">Η βία και το τραύμα δεν αφαιρούν από τις μητέρες τη ζεστασιά και τη στοργή προς τα παιδιά τους. Αυτό που αλλάζει είναι συγκεκριμένο: η τραυματισμένη μητέρα γίνεται πιο υπερπροστατευτική και πιο αγχώδης, μια κατανοητή προσαρμογή σε ένα περιβάλλον πραγματικής απειλής. Το εύρημα στηρίζει παρεμβάσεις που βοηθούν τις μητέρες να διακρίνουν την </w:t>
            </w:r>
            <w:proofErr w:type="spellStart"/>
            <w:r>
              <w:rPr>
                <w:lang w:val="el-GR"/>
              </w:rPr>
              <w:t>υπερεπαγρύπνηση</w:t>
            </w:r>
            <w:proofErr w:type="spellEnd"/>
            <w:r>
              <w:rPr>
                <w:lang w:val="el-GR"/>
              </w:rPr>
              <w:t xml:space="preserve"> από την προστασία, χωρίς να τις ενοχοποιούν και χωρίς να αντιμετωπίζουν τη μητρική τους λειτουργία ως «ελλειμματική».</w:t>
            </w:r>
          </w:p>
        </w:tc>
      </w:tr>
    </w:tbl>
    <w:p w14:paraId="37BEF18B" w14:textId="77777777" w:rsidR="00E63D5B" w:rsidRPr="00132066" w:rsidRDefault="00E63D5B">
      <w:pPr>
        <w:spacing w:after="40"/>
        <w:rPr>
          <w:lang w:val="el-GR"/>
        </w:rPr>
      </w:pPr>
    </w:p>
    <w:p w14:paraId="3345302C" w14:textId="77777777" w:rsidR="00E63D5B" w:rsidRPr="00132066" w:rsidRDefault="001F059D">
      <w:pPr>
        <w:pStyle w:val="20"/>
        <w:rPr>
          <w:lang w:val="el-GR"/>
        </w:rPr>
      </w:pPr>
      <w:bookmarkStart w:id="42" w:name="_Toc242134447"/>
      <w:r>
        <w:rPr>
          <w:lang w:val="el-GR"/>
        </w:rPr>
        <w:t>6.6 Τα παιδιά: έκθεση στη βία, ψυχοκοινωνική προσαρμογή, ανθεκτικότητα και ανάπτυξη</w:t>
      </w:r>
      <w:bookmarkEnd w:id="42"/>
    </w:p>
    <w:p w14:paraId="0055D730" w14:textId="77777777" w:rsidR="00E63D5B" w:rsidRPr="000B7AA5" w:rsidRDefault="001F059D">
      <w:pPr>
        <w:rPr>
          <w:lang w:val="el-GR"/>
        </w:rPr>
      </w:pPr>
      <w:r>
        <w:rPr>
          <w:lang w:val="el-GR"/>
        </w:rPr>
        <w:t>Σύμφωνα με τις αναφορές των μητέρων στο ερωτηματολόγιο HITS-C, το οποίο καταγράφει με ερωτήσεις ναι/όχι αν το παιδί έχει υποστεί λεκτική, σωματική ή σεξουαλική κακοποίηση και αν ήταν παρόν σε βία ή απειλή κατά της μητέρας, η έκθεση των παιδιών στη βία ήταν εκτεταμένη και συχνά πολλαπλή. Σχεδόν δύο στα τρία παιδιά (64,5%) είχαν δεχθεί λεκτική κακοποίηση (βρισιές, προσβολές, απειλές από γονέα ή ενήλικο του σπιτιού), και ένα στα δύο (50,8%) είχε υπάρξει παρόν σε περιστατικό σωματικής βίας ή απειλής κατά της μητέρας. Ένα στα τέσσερα (25,2%) είχε υποστεί άμεση σωματική κακοποίηση και το 2,5% σεξουαλική κακοποίηση. Συνολικά, το 79,0% των παιδιών είχε εκτεθεί σε τουλάχιστον μία μορφή και το 43,7% σε δύο ή περισσότερες.</w:t>
      </w:r>
    </w:p>
    <w:p w14:paraId="782CFFAF" w14:textId="77777777" w:rsidR="00E63D5B" w:rsidRDefault="001F059D">
      <w:pPr>
        <w:keepNext/>
        <w:jc w:val="center"/>
      </w:pPr>
      <w:r>
        <w:rPr>
          <w:noProof/>
          <w:lang w:val="el-GR"/>
        </w:rPr>
        <w:drawing>
          <wp:inline distT="0" distB="0" distL="0" distR="0" wp14:anchorId="28A23548" wp14:editId="71E2C0A7">
            <wp:extent cx="5580000" cy="2593121"/>
            <wp:effectExtent l="0" t="0" r="0" b="0"/>
            <wp:docPr id="1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5"/>
                    <a:srcRect/>
                    <a:stretch>
                      <a:fillRect/>
                    </a:stretch>
                  </pic:blipFill>
                  <pic:spPr>
                    <a:xfrm>
                      <a:off x="0" y="0"/>
                      <a:ext cx="5580000" cy="2593121"/>
                    </a:xfrm>
                    <a:prstGeom prst="rect">
                      <a:avLst/>
                    </a:prstGeom>
                    <a:ln/>
                  </pic:spPr>
                </pic:pic>
              </a:graphicData>
            </a:graphic>
          </wp:inline>
        </w:drawing>
      </w:r>
    </w:p>
    <w:p w14:paraId="7159E611" w14:textId="77777777" w:rsidR="00E63D5B" w:rsidRPr="00132066" w:rsidRDefault="001F059D">
      <w:pPr>
        <w:spacing w:after="240"/>
        <w:jc w:val="center"/>
        <w:rPr>
          <w:lang w:val="el-GR"/>
        </w:rPr>
      </w:pPr>
      <w:r>
        <w:rPr>
          <w:b/>
          <w:bCs/>
          <w:color w:val="555555"/>
          <w:sz w:val="19"/>
          <w:szCs w:val="19"/>
          <w:lang w:val="el-GR"/>
        </w:rPr>
        <w:t xml:space="preserve">Γράφημα 7. </w:t>
      </w:r>
      <w:r>
        <w:rPr>
          <w:i/>
          <w:iCs/>
          <w:color w:val="555555"/>
          <w:sz w:val="19"/>
          <w:szCs w:val="19"/>
          <w:lang w:val="el-GR"/>
        </w:rPr>
        <w:t>Έκθεση των παιδιών σε μορφές βίας, σύμφωνα με τις αναφορές των μητέρων (</w:t>
      </w:r>
      <w:r>
        <w:rPr>
          <w:i/>
          <w:iCs/>
          <w:color w:val="555555"/>
          <w:sz w:val="19"/>
          <w:szCs w:val="19"/>
        </w:rPr>
        <w:t>HITS</w:t>
      </w:r>
      <w:r>
        <w:rPr>
          <w:i/>
          <w:iCs/>
          <w:color w:val="555555"/>
          <w:sz w:val="19"/>
          <w:szCs w:val="19"/>
          <w:lang w:val="el-GR"/>
        </w:rPr>
        <w:t>-</w:t>
      </w:r>
      <w:r>
        <w:rPr>
          <w:i/>
          <w:iCs/>
          <w:color w:val="555555"/>
          <w:sz w:val="19"/>
          <w:szCs w:val="19"/>
        </w:rPr>
        <w:t>C</w:t>
      </w:r>
      <w:r>
        <w:rPr>
          <w:i/>
          <w:iCs/>
          <w:color w:val="555555"/>
          <w:sz w:val="19"/>
          <w:szCs w:val="19"/>
          <w:lang w:val="el-GR"/>
        </w:rPr>
        <w:t>).</w:t>
      </w:r>
    </w:p>
    <w:p w14:paraId="20DC0E64" w14:textId="77777777" w:rsidR="00E63D5B" w:rsidRPr="000B7AA5" w:rsidRDefault="001F059D">
      <w:pPr>
        <w:rPr>
          <w:lang w:val="el-GR"/>
        </w:rPr>
      </w:pPr>
      <w:r>
        <w:rPr>
          <w:lang w:val="el-GR"/>
        </w:rPr>
        <w:t xml:space="preserve">Οι έφηβοι/ες που απάντησαν οι ίδιοι/ες (ερωτηματολόγιο CEDV, το οποίο καταγράφει την έκθεση στη βία από τη δική τους οπτική: τη βία στο σπίτι, την εμπλοκή του ίδιου του παιδιού, τη </w:t>
      </w:r>
      <w:proofErr w:type="spellStart"/>
      <w:r>
        <w:rPr>
          <w:lang w:val="el-GR"/>
        </w:rPr>
        <w:t>θυματοποίησή</w:t>
      </w:r>
      <w:proofErr w:type="spellEnd"/>
      <w:r>
        <w:rPr>
          <w:lang w:val="el-GR"/>
        </w:rPr>
        <w:t xml:space="preserve"> του, τη βία στην κοινότητα· Ν = 25) περιέγραψαν κυρίως έκθεση στη βία μέσα στο σπίτι και στην κοινότητα, εμπλοκή τους στα περιστατικά (π.χ. προσπάθεια να σταματήσουν τον καβγά, κλήση για βοήθεια) και, σε μικρότερο βαθμό, άμεση </w:t>
      </w:r>
      <w:proofErr w:type="spellStart"/>
      <w:r>
        <w:rPr>
          <w:lang w:val="el-GR"/>
        </w:rPr>
        <w:t>θυματοποίηση</w:t>
      </w:r>
      <w:proofErr w:type="spellEnd"/>
      <w:r>
        <w:rPr>
          <w:lang w:val="el-GR"/>
        </w:rPr>
        <w:t xml:space="preserve">. Τα κορίτσια ανέφεραν υψηλότερη άμεση </w:t>
      </w:r>
      <w:proofErr w:type="spellStart"/>
      <w:r>
        <w:rPr>
          <w:lang w:val="el-GR"/>
        </w:rPr>
        <w:t>θυματοποίηση</w:t>
      </w:r>
      <w:proofErr w:type="spellEnd"/>
      <w:r>
        <w:rPr>
          <w:lang w:val="el-GR"/>
        </w:rPr>
        <w:t xml:space="preserve"> από τα αγόρια. Τα παιδιά μητέρων με πιθανή ΔΜΤΣ είχαν υψηλότερες βαθμολογίες έκθεσης σε όλες σχεδόν τις διαστάσεις, με στατιστικώς σημαντική διαφορά στην άμεση </w:t>
      </w:r>
      <w:proofErr w:type="spellStart"/>
      <w:r>
        <w:rPr>
          <w:lang w:val="el-GR"/>
        </w:rPr>
        <w:t>θυματοποίηση</w:t>
      </w:r>
      <w:proofErr w:type="spellEnd"/>
      <w:r>
        <w:rPr>
          <w:lang w:val="el-GR"/>
        </w:rPr>
        <w:t xml:space="preserve"> και στη συνολική έκθεση, σε πολύ μικρή όμως ομάδα παιδιών. Τα υπόλοιπα ευρήματα ερμηνεύονται με επιφύλαξη λόγω του μικρού αριθμού των εφήβων που συμμετείχαν (Ν = 25).</w:t>
      </w:r>
    </w:p>
    <w:p w14:paraId="3520E1AE" w14:textId="77777777" w:rsidR="00E63D5B" w:rsidRPr="00132066" w:rsidRDefault="001F059D">
      <w:pPr>
        <w:rPr>
          <w:lang w:val="el-GR"/>
        </w:rPr>
      </w:pPr>
      <w:r>
        <w:rPr>
          <w:lang w:val="el-GR"/>
        </w:rPr>
        <w:lastRenderedPageBreak/>
        <w:t>Η συνολική έκθεση της μητέρας στη βία συσχετίστηκε μέτρια και στατιστικώς σημαντικά με τη συνολική έκθεση του παιδιού της (117 ζεύγη μητέρας–παιδιού). Η σύνδεση επιβεβαιώθηκε και ανά μορφή: η σωματική, η λεκτική και η σεξουαλική βία που βίωνε η μητέρα συνδέονταν με την αντίστοιχη μορφή βίας προς το παιδί. Η βία κατά της μητέρας και η έκθεση του παιδιού, δηλαδή, συνυπάρχουν συστηματικά μέσα στο ίδιο οικογενειακό πλαίσιο.</w:t>
      </w:r>
    </w:p>
    <w:p w14:paraId="497E9166" w14:textId="77777777" w:rsidR="00E63D5B" w:rsidRPr="000B7AA5" w:rsidRDefault="001F059D">
      <w:pPr>
        <w:rPr>
          <w:lang w:val="el-GR"/>
        </w:rPr>
      </w:pPr>
      <w:r>
        <w:rPr>
          <w:lang w:val="el-GR"/>
        </w:rPr>
        <w:t xml:space="preserve">Οι δυσκολίες των παιδιών μετρήθηκαν με το Ερωτηματολόγιο Δυνατοτήτων και Δυσκολιών (SDQ), 25 ερωτήσεων, το οποίο αξιολογεί τέσσερις τομείς δυσκολιών, δηλαδή τα συναισθηματικά συμπτώματα, τα προβλήματα διαγωγής, την </w:t>
      </w:r>
      <w:proofErr w:type="spellStart"/>
      <w:r>
        <w:rPr>
          <w:lang w:val="el-GR"/>
        </w:rPr>
        <w:t>υπερκινητικότητα</w:t>
      </w:r>
      <w:proofErr w:type="spellEnd"/>
      <w:r>
        <w:rPr>
          <w:lang w:val="el-GR"/>
        </w:rPr>
        <w:t xml:space="preserve"> και απροσεξία και τα προβλήματα με συνομήλικα άτομα, καθώς και τη θετική κοινωνική συμπεριφορά του παιδιού. Στις αναφορές των μητέρων για τα παιδιά 4–17 ετών, οι υψηλότερες βαθμολογίες αφορούσαν την </w:t>
      </w:r>
      <w:proofErr w:type="spellStart"/>
      <w:r>
        <w:rPr>
          <w:lang w:val="el-GR"/>
        </w:rPr>
        <w:t>υπερκινητικότητα</w:t>
      </w:r>
      <w:proofErr w:type="spellEnd"/>
      <w:r>
        <w:rPr>
          <w:lang w:val="el-GR"/>
        </w:rPr>
        <w:t xml:space="preserve">/απροσεξία, ακολουθούμενες από τα συναισθηματικά συμπτώματα και τα προβλήματα διαγωγής. Τα αγόρια είχαν περισσότερη </w:t>
      </w:r>
      <w:proofErr w:type="spellStart"/>
      <w:r>
        <w:rPr>
          <w:lang w:val="el-GR"/>
        </w:rPr>
        <w:t>υπερκινητικότητα</w:t>
      </w:r>
      <w:proofErr w:type="spellEnd"/>
      <w:r>
        <w:rPr>
          <w:lang w:val="el-GR"/>
        </w:rPr>
        <w:t xml:space="preserve"> και τα κορίτσια περισσότερη θετική κοινωνική συμπεριφορά. Οι </w:t>
      </w:r>
      <w:proofErr w:type="spellStart"/>
      <w:r>
        <w:rPr>
          <w:lang w:val="el-GR"/>
        </w:rPr>
        <w:t>αυτοαναφορές</w:t>
      </w:r>
      <w:proofErr w:type="spellEnd"/>
      <w:r>
        <w:rPr>
          <w:lang w:val="el-GR"/>
        </w:rPr>
        <w:t xml:space="preserve"> των εφήβων έδειχναν χαμηλότερες συνολικές δυσκολίες και δεν διέφεραν ανά φύλο.</w:t>
      </w:r>
    </w:p>
    <w:p w14:paraId="179CD0F2" w14:textId="77777777" w:rsidR="00E63D5B" w:rsidRPr="00132066" w:rsidRDefault="001F059D">
      <w:pPr>
        <w:rPr>
          <w:lang w:val="el-GR"/>
        </w:rPr>
      </w:pPr>
      <w:r>
        <w:rPr>
          <w:lang w:val="el-GR"/>
        </w:rPr>
        <w:t xml:space="preserve">Το κεντρικό εύρημα αφορά τη σχέση της ψυχικής υγείας της μητέρας με την προσαρμογή του παιδιού. Σύμφωνα με τις μητέρες, τα παιδιά των μητέρων με πιθανή ΔΜΤΣ είχαν σημαντικά περισσότερα συναισθηματικά συμπτώματα (3,4 έναντι 2,2), περισσότερα προβλήματα διαγωγής (3,2 έναντι 2,3) και υψηλότερες συνολικές δυσκολίες (13,3 έναντι 9,8) από τα παιδιά των μητέρων χωρίς ΔΜΤΣ, με μέτρια μεγέθη διαφοράς. Δεν διέφεραν ως προς την </w:t>
      </w:r>
      <w:proofErr w:type="spellStart"/>
      <w:r>
        <w:rPr>
          <w:lang w:val="el-GR"/>
        </w:rPr>
        <w:t>υπερκινητικότητα</w:t>
      </w:r>
      <w:proofErr w:type="spellEnd"/>
      <w:r>
        <w:rPr>
          <w:lang w:val="el-GR"/>
        </w:rPr>
        <w:t>, τα προβλήματα με συνομήλικα άτομα ή τη θετική κοινωνική συμπεριφορά. Επιπλέον, οι συνολικές δυσκολίες των παιδιών συνδέονταν με μεγαλύτερο στρες και χαμηλότερη ποιότητα ζωής της μητέρας.</w:t>
      </w:r>
    </w:p>
    <w:p w14:paraId="7608940D" w14:textId="77777777" w:rsidR="00E63D5B" w:rsidRDefault="001F059D">
      <w:pPr>
        <w:keepNext/>
        <w:jc w:val="center"/>
      </w:pPr>
      <w:r>
        <w:rPr>
          <w:noProof/>
          <w:lang w:val="el-GR"/>
        </w:rPr>
        <w:drawing>
          <wp:inline distT="0" distB="0" distL="0" distR="0" wp14:anchorId="2305BB09" wp14:editId="2DE4FF32">
            <wp:extent cx="5580000" cy="2345865"/>
            <wp:effectExtent l="0" t="0" r="0" b="0"/>
            <wp:docPr id="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5580000" cy="2345865"/>
                    </a:xfrm>
                    <a:prstGeom prst="rect">
                      <a:avLst/>
                    </a:prstGeom>
                    <a:ln/>
                  </pic:spPr>
                </pic:pic>
              </a:graphicData>
            </a:graphic>
          </wp:inline>
        </w:drawing>
      </w:r>
    </w:p>
    <w:p w14:paraId="4224A325" w14:textId="77777777" w:rsidR="00E63D5B" w:rsidRPr="00132066" w:rsidRDefault="001F059D">
      <w:pPr>
        <w:spacing w:after="240"/>
        <w:jc w:val="center"/>
        <w:rPr>
          <w:lang w:val="el-GR"/>
        </w:rPr>
      </w:pPr>
      <w:r>
        <w:rPr>
          <w:b/>
          <w:bCs/>
          <w:color w:val="555555"/>
          <w:sz w:val="19"/>
          <w:szCs w:val="19"/>
          <w:lang w:val="el-GR"/>
        </w:rPr>
        <w:t xml:space="preserve">Γράφημα 8. </w:t>
      </w:r>
      <w:r>
        <w:rPr>
          <w:i/>
          <w:iCs/>
          <w:color w:val="555555"/>
          <w:sz w:val="19"/>
          <w:szCs w:val="19"/>
          <w:lang w:val="el-GR"/>
        </w:rPr>
        <w:t xml:space="preserve">Συναισθηματικά συμπτώματα, προβλήματα διαγωγής και συνολικές δυσκολίες των παιδιών 4–17 ετών, ανάλογα με το αν η μητέρα εμφανίζει πιθανή ΔΜΤΣ (αναφορές μητέρων, </w:t>
      </w:r>
      <w:r>
        <w:rPr>
          <w:i/>
          <w:iCs/>
          <w:color w:val="555555"/>
          <w:sz w:val="19"/>
          <w:szCs w:val="19"/>
        </w:rPr>
        <w:t>SDQ</w:t>
      </w:r>
      <w:r>
        <w:rPr>
          <w:i/>
          <w:iCs/>
          <w:color w:val="555555"/>
          <w:sz w:val="19"/>
          <w:szCs w:val="19"/>
          <w:lang w:val="el-GR"/>
        </w:rPr>
        <w:t>).</w:t>
      </w:r>
    </w:p>
    <w:p w14:paraId="129395FD" w14:textId="77777777" w:rsidR="00E63D5B" w:rsidRPr="000B7AA5" w:rsidRDefault="001F059D">
      <w:pPr>
        <w:rPr>
          <w:lang w:val="el-GR"/>
        </w:rPr>
      </w:pPr>
      <w:r>
        <w:rPr>
          <w:lang w:val="el-GR"/>
        </w:rPr>
        <w:t xml:space="preserve">Οι διαφορές αυτές, ωστόσο, δεν επιβεβαιώθηκαν στις </w:t>
      </w:r>
      <w:proofErr w:type="spellStart"/>
      <w:r>
        <w:rPr>
          <w:lang w:val="el-GR"/>
        </w:rPr>
        <w:t>αυτοαναφορές</w:t>
      </w:r>
      <w:proofErr w:type="spellEnd"/>
      <w:r>
        <w:rPr>
          <w:lang w:val="el-GR"/>
        </w:rPr>
        <w:t xml:space="preserve"> των εφήβων: οι έφηβοι/ες των οποίων οι μητέρες είχαν πιθανή ΔΜΤΣ δεν διέφεραν από τους/τις εφήβους/ες των οποίων οι μητέρες δεν είχαν, σε καμία διάσταση του SDQ ούτε στα </w:t>
      </w:r>
      <w:proofErr w:type="spellStart"/>
      <w:r>
        <w:rPr>
          <w:lang w:val="el-GR"/>
        </w:rPr>
        <w:t>μετατραυματικά</w:t>
      </w:r>
      <w:proofErr w:type="spellEnd"/>
      <w:r>
        <w:rPr>
          <w:lang w:val="el-GR"/>
        </w:rPr>
        <w:t xml:space="preserve"> τους συμπτώματα (Αναθεωρημένο Ερωτηματολόγιο Επιπτώσεων Τραυματικών Γεγονότων για Παιδιά, CRIES-8, οκτώ ερωτήσεων για τις επανερχόμενες σκέψεις και την αποφυγή), τα οποία βρίσκονταν σε μέτρια επίπεδα. Επίσης, οι επιμέρους μορφές βίας που ανέφεραν οι μητέρες (σωματική, λεκτική, απειλές, φωνές, σεξουαλική) δεν συνδέθηκαν με στατιστικά τεκμηριωμένες διαφορές στην προσαρμογή των παιδιών, παρότι </w:t>
      </w:r>
      <w:r>
        <w:rPr>
          <w:lang w:val="el-GR"/>
        </w:rPr>
        <w:lastRenderedPageBreak/>
        <w:t>υπήρχε μια συνεπής, μη σημαντική τάση τα παιδιά των εκτεθειμένων μητέρων να έχουν ελαφρώς περισσότερες δυσκολίες, ιδίως με τους συνομήλικα άτομα.</w:t>
      </w:r>
    </w:p>
    <w:p w14:paraId="42EDD2B1" w14:textId="77777777" w:rsidR="00E63D5B" w:rsidRPr="00132066" w:rsidRDefault="001F059D">
      <w:pPr>
        <w:rPr>
          <w:lang w:val="el-GR"/>
        </w:rPr>
      </w:pPr>
      <w:r>
        <w:rPr>
          <w:lang w:val="el-GR"/>
        </w:rPr>
        <w:t xml:space="preserve">Οι 25 έφηβοι/ες ανέφεραν γενικά υψηλή ποιότητα ζωής (υψηλότερη στη γενική υγεία, χαμηλότερη στην ψυχική υγεία), μέτρια ψυχική ανθεκτικότητα (με τα αγόρια να αναφέρουν μεγαλύτερη ικανότητα ανάκαμψης από τα κορίτσια) και μέτρια έως υψηλή </w:t>
      </w:r>
      <w:proofErr w:type="spellStart"/>
      <w:r>
        <w:rPr>
          <w:lang w:val="el-GR"/>
        </w:rPr>
        <w:t>μετατραυματική</w:t>
      </w:r>
      <w:proofErr w:type="spellEnd"/>
      <w:r>
        <w:rPr>
          <w:lang w:val="el-GR"/>
        </w:rPr>
        <w:t xml:space="preserve"> ανάπτυξη, με τη μεγαλύτερη αλλαγή στην εκτίμηση της ζωής και στις νέες δυνατότητες. Η μόνη διαφορά που τεκμηριώθηκε στατιστικά σε σχέση με τη ΔΜΤΣ της μητέρας αφορούσε τη συνολική ποιότητα ζωής, η οποία ήταν υψηλότερη στους εφήβους μητέρων χωρίς ΔΜΤΣ (89,6 έναντι 70,8), με μεγάλο μέγεθος διαφοράς. Στις υπόλοιπες διαστάσεις υπήρχαν σταθερά υψηλότερες τιμές στην ίδια ομάδα, χωρίς στατιστική τεκμηρίωση λόγω του μικρού αριθμού.</w:t>
      </w:r>
    </w:p>
    <w:tbl>
      <w:tblPr>
        <w:tblStyle w:val="affe"/>
        <w:tblW w:w="9072" w:type="dxa"/>
        <w:jc w:val="center"/>
        <w:tblLayout w:type="fixed"/>
        <w:tblLook w:val="0400" w:firstRow="0" w:lastRow="0" w:firstColumn="0" w:lastColumn="0" w:noHBand="0" w:noVBand="1"/>
      </w:tblPr>
      <w:tblGrid>
        <w:gridCol w:w="9072"/>
      </w:tblGrid>
      <w:tr w:rsidR="00E63D5B" w:rsidRPr="00D84B1E" w14:paraId="362A8F85" w14:textId="77777777">
        <w:trPr>
          <w:tblHeader/>
          <w:jc w:val="center"/>
        </w:trPr>
        <w:tc>
          <w:tcPr>
            <w:tcW w:w="9072" w:type="dxa"/>
            <w:tcBorders>
              <w:top w:val="single" w:sz="6" w:space="0" w:color="B7C7DE"/>
              <w:left w:val="single" w:sz="6" w:space="0" w:color="B7C7DE"/>
              <w:bottom w:val="single" w:sz="6" w:space="0" w:color="B7C7DE"/>
              <w:right w:val="single" w:sz="6" w:space="0" w:color="B7C7DE"/>
            </w:tcBorders>
            <w:shd w:val="clear" w:color="auto" w:fill="EEF2F8"/>
          </w:tcPr>
          <w:p w14:paraId="38B8AA97" w14:textId="77777777" w:rsidR="00E63D5B" w:rsidRPr="00132066" w:rsidRDefault="001F059D">
            <w:pPr>
              <w:spacing w:after="80" w:line="264" w:lineRule="auto"/>
              <w:jc w:val="left"/>
              <w:rPr>
                <w:lang w:val="el-GR"/>
              </w:rPr>
            </w:pPr>
            <w:r>
              <w:rPr>
                <w:b/>
                <w:bCs/>
                <w:lang w:val="el-GR"/>
              </w:rPr>
              <w:t>Σημασία των ευρημάτων: τα παιδιά</w:t>
            </w:r>
          </w:p>
          <w:p w14:paraId="1F7537FA" w14:textId="1DE43640" w:rsidR="00E63D5B" w:rsidRPr="00132066" w:rsidRDefault="001F059D">
            <w:pPr>
              <w:spacing w:after="80" w:line="264" w:lineRule="auto"/>
              <w:jc w:val="left"/>
              <w:rPr>
                <w:lang w:val="el-GR"/>
              </w:rPr>
            </w:pPr>
            <w:r>
              <w:rPr>
                <w:lang w:val="el-GR"/>
              </w:rPr>
              <w:t>Τα παιδιά δεν παρακολουθούν τη βία από απόσταση, ζουν μέσα σε αυτήν: το 79% έχει εκτεθεί σε τουλάχιστον μία μορφή και το 51% έχει υπάρξει παρόν σε σωματική βία ή απειλή κατά της μητέρας. Η βία κατά της μητέρας και η βία προς το παιδί πηγαίνουν μαζί, μορφή προς μορφή. Οι υπηρεσίες που αντιμετωπίζουν χωριστά την «κακοποιημένη γυναίκα» και το «παιδί σε κίνδυνο» παραβλέπουν αυτή τη σύνδεση. Η οδός</w:t>
            </w:r>
            <w:r w:rsidR="000F39AF">
              <w:rPr>
                <w:lang w:val="el-GR"/>
              </w:rPr>
              <w:t>,</w:t>
            </w:r>
            <w:r>
              <w:rPr>
                <w:lang w:val="el-GR"/>
              </w:rPr>
              <w:t xml:space="preserve"> μέσω της οποίας η βία επιδρά στην προσαρμογή του παιδιού</w:t>
            </w:r>
            <w:r w:rsidR="000F39AF">
              <w:rPr>
                <w:lang w:val="el-GR"/>
              </w:rPr>
              <w:t>,</w:t>
            </w:r>
            <w:r>
              <w:rPr>
                <w:lang w:val="el-GR"/>
              </w:rPr>
              <w:t xml:space="preserve"> φαίνεται να διέρχεται από την ψυχική υγεία της μητέρας: όχι η μορφή της βίας, αλλά το τραύμα, το στρες και η μειωμένη ποιότητα ζωής της μητέρας συνδέονται με τις δυσκολίες του παιδιού, σε συμφωνία με τα μοντέλα </w:t>
            </w:r>
            <w:proofErr w:type="spellStart"/>
            <w:r>
              <w:rPr>
                <w:lang w:val="el-GR"/>
              </w:rPr>
              <w:t>διαγενεακής</w:t>
            </w:r>
            <w:proofErr w:type="spellEnd"/>
            <w:r>
              <w:rPr>
                <w:lang w:val="el-GR"/>
              </w:rPr>
              <w:t xml:space="preserve"> «διάχυσης» της δυσφορίας (</w:t>
            </w:r>
            <w:r>
              <w:t>Levendosky</w:t>
            </w:r>
            <w:r>
              <w:rPr>
                <w:lang w:val="el-GR"/>
              </w:rPr>
              <w:t xml:space="preserve"> &amp; </w:t>
            </w:r>
            <w:r>
              <w:t>Graham</w:t>
            </w:r>
            <w:r>
              <w:rPr>
                <w:lang w:val="el-GR"/>
              </w:rPr>
              <w:t>-</w:t>
            </w:r>
            <w:r>
              <w:t>Bermann</w:t>
            </w:r>
            <w:r>
              <w:rPr>
                <w:lang w:val="el-GR"/>
              </w:rPr>
              <w:t>, 2001).</w:t>
            </w:r>
          </w:p>
          <w:p w14:paraId="6EF1327B" w14:textId="77777777" w:rsidR="00E63D5B" w:rsidRPr="00132066" w:rsidRDefault="001F059D">
            <w:pPr>
              <w:spacing w:after="80" w:line="264" w:lineRule="auto"/>
              <w:jc w:val="left"/>
              <w:rPr>
                <w:lang w:val="el-GR"/>
              </w:rPr>
            </w:pPr>
            <w:r>
              <w:rPr>
                <w:lang w:val="el-GR"/>
              </w:rPr>
              <w:t xml:space="preserve">Οι </w:t>
            </w:r>
            <w:proofErr w:type="spellStart"/>
            <w:r>
              <w:rPr>
                <w:lang w:val="el-GR"/>
              </w:rPr>
              <w:t>αυτοαναφορές</w:t>
            </w:r>
            <w:proofErr w:type="spellEnd"/>
            <w:r>
              <w:rPr>
                <w:lang w:val="el-GR"/>
              </w:rPr>
              <w:t xml:space="preserve"> των εφήβων σκιαγραφούν ευνοϊκότερη εικόνα από τις αναφορές των μητέρων: υψηλή ποιότητα ζωής, ανθεκτικότητα, </w:t>
            </w:r>
            <w:proofErr w:type="spellStart"/>
            <w:r>
              <w:rPr>
                <w:lang w:val="el-GR"/>
              </w:rPr>
              <w:t>μετατραυματική</w:t>
            </w:r>
            <w:proofErr w:type="spellEnd"/>
            <w:r>
              <w:rPr>
                <w:lang w:val="el-GR"/>
              </w:rPr>
              <w:t xml:space="preserve"> ανάπτυξη. Η απόκλιση μπορεί να οφείλεται στο μικρό υπόδειγμα, στη διαφορετική οπτική γωνία των πληροφοριοδοτών ή στην επιλεκτική συμμετοχή των πλέον λειτουργικών εφήβων.</w:t>
            </w:r>
          </w:p>
        </w:tc>
      </w:tr>
    </w:tbl>
    <w:p w14:paraId="19D0BE74" w14:textId="77777777" w:rsidR="00E63D5B" w:rsidRPr="00132066" w:rsidRDefault="001F059D">
      <w:pPr>
        <w:pStyle w:val="20"/>
        <w:rPr>
          <w:lang w:val="el-GR"/>
        </w:rPr>
      </w:pPr>
      <w:bookmarkStart w:id="43" w:name="_Toc242134448"/>
      <w:r>
        <w:rPr>
          <w:lang w:val="el-GR"/>
        </w:rPr>
        <w:t xml:space="preserve">6.7 </w:t>
      </w:r>
      <w:proofErr w:type="spellStart"/>
      <w:r>
        <w:rPr>
          <w:lang w:val="el-GR"/>
        </w:rPr>
        <w:t>Μετατραυματική</w:t>
      </w:r>
      <w:proofErr w:type="spellEnd"/>
      <w:r>
        <w:rPr>
          <w:lang w:val="el-GR"/>
        </w:rPr>
        <w:t xml:space="preserve"> ανάπτυξη των γυναικών: ο ρόλος του στρες και της κατάθλιψης</w:t>
      </w:r>
      <w:bookmarkEnd w:id="43"/>
    </w:p>
    <w:p w14:paraId="78273982" w14:textId="544D7271" w:rsidR="00EB7D96" w:rsidRDefault="001F059D">
      <w:pPr>
        <w:rPr>
          <w:lang w:val="el-GR"/>
        </w:rPr>
      </w:pPr>
      <w:r>
        <w:rPr>
          <w:lang w:val="el-GR"/>
        </w:rPr>
        <w:t xml:space="preserve">Η μέση συνολική βαθμολογία στο Ερωτηματολόγιο </w:t>
      </w:r>
      <w:proofErr w:type="spellStart"/>
      <w:r>
        <w:rPr>
          <w:lang w:val="el-GR"/>
        </w:rPr>
        <w:t>Μετατραυματικής</w:t>
      </w:r>
      <w:proofErr w:type="spellEnd"/>
      <w:r>
        <w:rPr>
          <w:lang w:val="el-GR"/>
        </w:rPr>
        <w:t xml:space="preserve"> Ανάπτυξης (PTGI), 21 ερωτήσεων που καταγράφουν τις θετικές αλλαγές που αναγνωρίζουν οι γυναίκες μετά την τραυματική εμπειρία σε πέντε τομείς (σχέσεις με άλλους, νέες δυνατότητες, προσωπική δύναμη, πνευματική αλλαγή, εκτίμηση της ζωής), ήταν 69,4 στα 105, τιμή που αντιστοιχεί σε μέτρια έως υψηλή αντιλαμβανόμενη θετική αλλαγή. Οι υψηλότερες βαθμολογίες, σε αναλογία με το εύρος κάθε διάστασης, καταγράφηκαν στην εκτίμηση της ζωής και στην προσωπική δύναμη, και οι χαμηλότερες στις νέες δυνατότητες. Οι γυναίκες με πιθανή ΔΜΤΣ ανέφεραν σημαντικά χαμηλότερη </w:t>
      </w:r>
      <w:proofErr w:type="spellStart"/>
      <w:r>
        <w:rPr>
          <w:lang w:val="el-GR"/>
        </w:rPr>
        <w:t>μετατραυματική</w:t>
      </w:r>
      <w:proofErr w:type="spellEnd"/>
      <w:r>
        <w:rPr>
          <w:lang w:val="el-GR"/>
        </w:rPr>
        <w:t xml:space="preserve"> ανάπτυξη από τις γυναίκες χωρίς ΔΜΤΣ (65,1 έναντι 77,5), με μέτριο μέγεθος διαφοράς, σε όλες τις διαστάσεις εκτός από την πνευματική αλλαγή, όπου η διαφορά δεν ήταν στατιστικώς σημαντική. Οι μεγαλύτερες διαφορές αφορούσαν τις νέες δυνατότητες και τις σχέσεις με τους άλλους.</w:t>
      </w:r>
    </w:p>
    <w:p w14:paraId="3A2C4DCA" w14:textId="77777777" w:rsidR="00EB7D96" w:rsidRDefault="00EB7D96">
      <w:pPr>
        <w:rPr>
          <w:lang w:val="el-GR"/>
        </w:rPr>
      </w:pPr>
      <w:r>
        <w:rPr>
          <w:lang w:val="el-GR"/>
        </w:rPr>
        <w:br w:type="page"/>
      </w:r>
    </w:p>
    <w:p w14:paraId="64957243" w14:textId="77777777" w:rsidR="00E63D5B" w:rsidRPr="000B7AA5" w:rsidRDefault="00E63D5B">
      <w:pPr>
        <w:rPr>
          <w:lang w:val="el-GR"/>
        </w:rPr>
      </w:pPr>
    </w:p>
    <w:p w14:paraId="13D63A79" w14:textId="06883925" w:rsidR="00E63D5B" w:rsidRPr="00132066" w:rsidRDefault="001F059D">
      <w:pPr>
        <w:keepNext/>
        <w:spacing w:after="60"/>
        <w:jc w:val="left"/>
        <w:rPr>
          <w:lang w:val="el-GR"/>
        </w:rPr>
      </w:pPr>
      <w:r>
        <w:rPr>
          <w:b/>
          <w:bCs/>
          <w:color w:val="1D2B44"/>
          <w:sz w:val="20"/>
          <w:szCs w:val="20"/>
          <w:lang w:val="el-GR"/>
        </w:rPr>
        <w:t xml:space="preserve">Πίνακας </w:t>
      </w:r>
      <w:r w:rsidR="00EB7D96">
        <w:rPr>
          <w:b/>
          <w:bCs/>
          <w:color w:val="1D2B44"/>
          <w:sz w:val="20"/>
          <w:szCs w:val="20"/>
          <w:lang w:val="el-GR"/>
        </w:rPr>
        <w:t>6</w:t>
      </w:r>
      <w:r>
        <w:rPr>
          <w:b/>
          <w:bCs/>
          <w:color w:val="1D2B44"/>
          <w:sz w:val="20"/>
          <w:szCs w:val="20"/>
          <w:lang w:val="el-GR"/>
        </w:rPr>
        <w:t xml:space="preserve">. </w:t>
      </w:r>
      <w:proofErr w:type="spellStart"/>
      <w:r>
        <w:rPr>
          <w:i/>
          <w:iCs/>
          <w:color w:val="1D2B44"/>
          <w:sz w:val="20"/>
          <w:szCs w:val="20"/>
          <w:lang w:val="el-GR"/>
        </w:rPr>
        <w:t>Μετατραυματική</w:t>
      </w:r>
      <w:proofErr w:type="spellEnd"/>
      <w:r>
        <w:rPr>
          <w:i/>
          <w:iCs/>
          <w:color w:val="1D2B44"/>
          <w:sz w:val="20"/>
          <w:szCs w:val="20"/>
          <w:lang w:val="el-GR"/>
        </w:rPr>
        <w:t xml:space="preserve"> ανάπτυξη (</w:t>
      </w:r>
      <w:r>
        <w:rPr>
          <w:i/>
          <w:iCs/>
          <w:color w:val="1D2B44"/>
          <w:sz w:val="20"/>
          <w:szCs w:val="20"/>
        </w:rPr>
        <w:t>PTGI</w:t>
      </w:r>
      <w:r>
        <w:rPr>
          <w:i/>
          <w:iCs/>
          <w:color w:val="1D2B44"/>
          <w:sz w:val="20"/>
          <w:szCs w:val="20"/>
          <w:lang w:val="el-GR"/>
        </w:rPr>
        <w:t>) των γυναικών στο σύνολο του δείγματος και ανά ομάδα</w:t>
      </w:r>
    </w:p>
    <w:tbl>
      <w:tblPr>
        <w:tblStyle w:val="afff"/>
        <w:tblW w:w="9070" w:type="dxa"/>
        <w:jc w:val="center"/>
        <w:tblLayout w:type="fixed"/>
        <w:tblLook w:val="0400" w:firstRow="0" w:lastRow="0" w:firstColumn="0" w:lastColumn="0" w:noHBand="0" w:noVBand="1"/>
      </w:tblPr>
      <w:tblGrid>
        <w:gridCol w:w="1814"/>
        <w:gridCol w:w="1814"/>
        <w:gridCol w:w="1814"/>
        <w:gridCol w:w="1814"/>
        <w:gridCol w:w="1814"/>
      </w:tblGrid>
      <w:tr w:rsidR="00E63D5B" w14:paraId="297FFA98" w14:textId="77777777">
        <w:trPr>
          <w:cantSplit/>
          <w:tblHeader/>
          <w:jc w:val="center"/>
        </w:trPr>
        <w:tc>
          <w:tcPr>
            <w:tcW w:w="1814" w:type="dxa"/>
            <w:tcBorders>
              <w:top w:val="single" w:sz="4" w:space="0" w:color="BFBFBF"/>
              <w:left w:val="single" w:sz="4" w:space="0" w:color="BFBFBF"/>
              <w:bottom w:val="single" w:sz="4" w:space="0" w:color="BFBFBF"/>
              <w:right w:val="single" w:sz="4" w:space="0" w:color="BFBFBF"/>
            </w:tcBorders>
            <w:shd w:val="clear" w:color="auto" w:fill="4A6FA5"/>
          </w:tcPr>
          <w:p w14:paraId="1C8DEC61" w14:textId="77777777" w:rsidR="00E63D5B" w:rsidRDefault="001F059D">
            <w:pPr>
              <w:spacing w:after="40" w:line="240" w:lineRule="auto"/>
              <w:jc w:val="left"/>
            </w:pPr>
            <w:proofErr w:type="spellStart"/>
            <w:r>
              <w:rPr>
                <w:b/>
                <w:bCs/>
                <w:color w:val="FFFFFF"/>
                <w:sz w:val="19"/>
                <w:szCs w:val="19"/>
              </w:rPr>
              <w:t>Διάστ</w:t>
            </w:r>
            <w:proofErr w:type="spellEnd"/>
            <w:r>
              <w:rPr>
                <w:b/>
                <w:bCs/>
                <w:color w:val="FFFFFF"/>
                <w:sz w:val="19"/>
                <w:szCs w:val="19"/>
              </w:rPr>
              <w:t>αση</w:t>
            </w:r>
          </w:p>
        </w:tc>
        <w:tc>
          <w:tcPr>
            <w:tcW w:w="1814" w:type="dxa"/>
            <w:tcBorders>
              <w:top w:val="single" w:sz="4" w:space="0" w:color="BFBFBF"/>
              <w:left w:val="single" w:sz="4" w:space="0" w:color="BFBFBF"/>
              <w:bottom w:val="single" w:sz="4" w:space="0" w:color="BFBFBF"/>
              <w:right w:val="single" w:sz="4" w:space="0" w:color="BFBFBF"/>
            </w:tcBorders>
            <w:shd w:val="clear" w:color="auto" w:fill="4A6FA5"/>
          </w:tcPr>
          <w:p w14:paraId="0BB21677" w14:textId="77777777" w:rsidR="00E63D5B" w:rsidRDefault="001F059D">
            <w:pPr>
              <w:spacing w:after="40" w:line="240" w:lineRule="auto"/>
              <w:jc w:val="left"/>
            </w:pPr>
            <w:proofErr w:type="spellStart"/>
            <w:proofErr w:type="gramStart"/>
            <w:r>
              <w:rPr>
                <w:b/>
                <w:bCs/>
                <w:color w:val="FFFFFF"/>
                <w:sz w:val="19"/>
                <w:szCs w:val="19"/>
              </w:rPr>
              <w:t>Σύνολο</w:t>
            </w:r>
            <w:proofErr w:type="spellEnd"/>
            <w:r>
              <w:rPr>
                <w:b/>
                <w:bCs/>
                <w:color w:val="FFFFFF"/>
                <w:sz w:val="19"/>
                <w:szCs w:val="19"/>
              </w:rPr>
              <w:t xml:space="preserve"> (N =</w:t>
            </w:r>
            <w:proofErr w:type="gramEnd"/>
            <w:r>
              <w:rPr>
                <w:b/>
                <w:bCs/>
                <w:color w:val="FFFFFF"/>
                <w:sz w:val="19"/>
                <w:szCs w:val="19"/>
              </w:rPr>
              <w:t xml:space="preserve"> 221)</w:t>
            </w:r>
          </w:p>
        </w:tc>
        <w:tc>
          <w:tcPr>
            <w:tcW w:w="1814" w:type="dxa"/>
            <w:tcBorders>
              <w:top w:val="single" w:sz="4" w:space="0" w:color="BFBFBF"/>
              <w:left w:val="single" w:sz="4" w:space="0" w:color="BFBFBF"/>
              <w:bottom w:val="single" w:sz="4" w:space="0" w:color="BFBFBF"/>
              <w:right w:val="single" w:sz="4" w:space="0" w:color="BFBFBF"/>
            </w:tcBorders>
            <w:shd w:val="clear" w:color="auto" w:fill="4A6FA5"/>
          </w:tcPr>
          <w:p w14:paraId="4A1482CF" w14:textId="77777777" w:rsidR="00E63D5B" w:rsidRDefault="001F059D">
            <w:pPr>
              <w:spacing w:after="40" w:line="240" w:lineRule="auto"/>
              <w:jc w:val="left"/>
            </w:pPr>
            <w:proofErr w:type="spellStart"/>
            <w:r>
              <w:rPr>
                <w:b/>
                <w:bCs/>
                <w:color w:val="FFFFFF"/>
                <w:sz w:val="19"/>
                <w:szCs w:val="19"/>
              </w:rPr>
              <w:t>Χωρίς</w:t>
            </w:r>
            <w:proofErr w:type="spellEnd"/>
            <w:r>
              <w:rPr>
                <w:b/>
                <w:bCs/>
                <w:color w:val="FFFFFF"/>
                <w:sz w:val="19"/>
                <w:szCs w:val="19"/>
              </w:rPr>
              <w:t xml:space="preserve"> π</w:t>
            </w:r>
            <w:proofErr w:type="spellStart"/>
            <w:r>
              <w:rPr>
                <w:b/>
                <w:bCs/>
                <w:color w:val="FFFFFF"/>
                <w:sz w:val="19"/>
                <w:szCs w:val="19"/>
              </w:rPr>
              <w:t>ιθ</w:t>
            </w:r>
            <w:proofErr w:type="spellEnd"/>
            <w:r>
              <w:rPr>
                <w:b/>
                <w:bCs/>
                <w:color w:val="FFFFFF"/>
                <w:sz w:val="19"/>
                <w:szCs w:val="19"/>
              </w:rPr>
              <w:t>ανή ΔΜΤΣ (n = 75)</w:t>
            </w:r>
          </w:p>
        </w:tc>
        <w:tc>
          <w:tcPr>
            <w:tcW w:w="1814" w:type="dxa"/>
            <w:tcBorders>
              <w:top w:val="single" w:sz="4" w:space="0" w:color="BFBFBF"/>
              <w:left w:val="single" w:sz="4" w:space="0" w:color="BFBFBF"/>
              <w:bottom w:val="single" w:sz="4" w:space="0" w:color="BFBFBF"/>
              <w:right w:val="single" w:sz="4" w:space="0" w:color="BFBFBF"/>
            </w:tcBorders>
            <w:shd w:val="clear" w:color="auto" w:fill="4A6FA5"/>
          </w:tcPr>
          <w:p w14:paraId="0FEB2627" w14:textId="77777777" w:rsidR="00E63D5B" w:rsidRDefault="001F059D">
            <w:pPr>
              <w:spacing w:after="40" w:line="240" w:lineRule="auto"/>
              <w:jc w:val="left"/>
            </w:pPr>
            <w:proofErr w:type="spellStart"/>
            <w:r>
              <w:rPr>
                <w:b/>
                <w:bCs/>
                <w:color w:val="FFFFFF"/>
                <w:sz w:val="19"/>
                <w:szCs w:val="19"/>
              </w:rPr>
              <w:t>Με</w:t>
            </w:r>
            <w:proofErr w:type="spellEnd"/>
            <w:r>
              <w:rPr>
                <w:b/>
                <w:bCs/>
                <w:color w:val="FFFFFF"/>
                <w:sz w:val="19"/>
                <w:szCs w:val="19"/>
              </w:rPr>
              <w:t xml:space="preserve"> π</w:t>
            </w:r>
            <w:proofErr w:type="spellStart"/>
            <w:r>
              <w:rPr>
                <w:b/>
                <w:bCs/>
                <w:color w:val="FFFFFF"/>
                <w:sz w:val="19"/>
                <w:szCs w:val="19"/>
              </w:rPr>
              <w:t>ιθ</w:t>
            </w:r>
            <w:proofErr w:type="spellEnd"/>
            <w:r>
              <w:rPr>
                <w:b/>
                <w:bCs/>
                <w:color w:val="FFFFFF"/>
                <w:sz w:val="19"/>
                <w:szCs w:val="19"/>
              </w:rPr>
              <w:t>ανή ΔΜΤΣ (n = 126)</w:t>
            </w:r>
          </w:p>
        </w:tc>
        <w:tc>
          <w:tcPr>
            <w:tcW w:w="1814" w:type="dxa"/>
            <w:tcBorders>
              <w:top w:val="single" w:sz="4" w:space="0" w:color="BFBFBF"/>
              <w:left w:val="single" w:sz="4" w:space="0" w:color="BFBFBF"/>
              <w:bottom w:val="single" w:sz="4" w:space="0" w:color="BFBFBF"/>
              <w:right w:val="single" w:sz="4" w:space="0" w:color="BFBFBF"/>
            </w:tcBorders>
            <w:shd w:val="clear" w:color="auto" w:fill="4A6FA5"/>
          </w:tcPr>
          <w:p w14:paraId="4B236FAC" w14:textId="77777777" w:rsidR="00E63D5B" w:rsidRDefault="001F059D">
            <w:pPr>
              <w:spacing w:after="40" w:line="240" w:lineRule="auto"/>
              <w:jc w:val="left"/>
            </w:pPr>
            <w:proofErr w:type="spellStart"/>
            <w:r>
              <w:rPr>
                <w:b/>
                <w:bCs/>
                <w:color w:val="FFFFFF"/>
                <w:sz w:val="19"/>
                <w:szCs w:val="19"/>
              </w:rPr>
              <w:t>Μέγεθος</w:t>
            </w:r>
            <w:proofErr w:type="spellEnd"/>
            <w:r>
              <w:rPr>
                <w:b/>
                <w:bCs/>
                <w:color w:val="FFFFFF"/>
                <w:sz w:val="19"/>
                <w:szCs w:val="19"/>
              </w:rPr>
              <w:t xml:space="preserve"> </w:t>
            </w:r>
            <w:proofErr w:type="spellStart"/>
            <w:r>
              <w:rPr>
                <w:b/>
                <w:bCs/>
                <w:color w:val="FFFFFF"/>
                <w:sz w:val="19"/>
                <w:szCs w:val="19"/>
              </w:rPr>
              <w:t>δι</w:t>
            </w:r>
            <w:proofErr w:type="spellEnd"/>
            <w:r>
              <w:rPr>
                <w:b/>
                <w:bCs/>
                <w:color w:val="FFFFFF"/>
                <w:sz w:val="19"/>
                <w:szCs w:val="19"/>
              </w:rPr>
              <w:t>αφοράς (d)</w:t>
            </w:r>
          </w:p>
        </w:tc>
      </w:tr>
      <w:tr w:rsidR="00E63D5B" w14:paraId="60010A55" w14:textId="77777777">
        <w:trPr>
          <w:cantSplit/>
          <w:jc w:val="center"/>
        </w:trPr>
        <w:tc>
          <w:tcPr>
            <w:tcW w:w="1814" w:type="dxa"/>
            <w:tcBorders>
              <w:top w:val="single" w:sz="4" w:space="0" w:color="BFBFBF"/>
              <w:left w:val="single" w:sz="4" w:space="0" w:color="BFBFBF"/>
              <w:bottom w:val="single" w:sz="4" w:space="0" w:color="BFBFBF"/>
              <w:right w:val="single" w:sz="4" w:space="0" w:color="BFBFBF"/>
            </w:tcBorders>
          </w:tcPr>
          <w:p w14:paraId="2DBD5C48" w14:textId="77777777" w:rsidR="00E63D5B" w:rsidRDefault="001F059D">
            <w:pPr>
              <w:spacing w:after="40" w:line="240" w:lineRule="auto"/>
              <w:jc w:val="left"/>
            </w:pPr>
            <w:proofErr w:type="spellStart"/>
            <w:r>
              <w:rPr>
                <w:sz w:val="19"/>
                <w:szCs w:val="19"/>
              </w:rPr>
              <w:t>Εκτίμηση</w:t>
            </w:r>
            <w:proofErr w:type="spellEnd"/>
            <w:r>
              <w:rPr>
                <w:sz w:val="19"/>
                <w:szCs w:val="19"/>
              </w:rPr>
              <w:t xml:space="preserve"> </w:t>
            </w:r>
            <w:proofErr w:type="spellStart"/>
            <w:r>
              <w:rPr>
                <w:sz w:val="19"/>
                <w:szCs w:val="19"/>
              </w:rPr>
              <w:t>της</w:t>
            </w:r>
            <w:proofErr w:type="spellEnd"/>
            <w:r>
              <w:rPr>
                <w:sz w:val="19"/>
                <w:szCs w:val="19"/>
              </w:rPr>
              <w:t xml:space="preserve"> </w:t>
            </w:r>
            <w:proofErr w:type="spellStart"/>
            <w:r>
              <w:rPr>
                <w:sz w:val="19"/>
                <w:szCs w:val="19"/>
              </w:rPr>
              <w:t>ζωής</w:t>
            </w:r>
            <w:proofErr w:type="spellEnd"/>
            <w:r>
              <w:rPr>
                <w:sz w:val="19"/>
                <w:szCs w:val="19"/>
              </w:rPr>
              <w:t xml:space="preserve"> (0–15)</w:t>
            </w:r>
          </w:p>
        </w:tc>
        <w:tc>
          <w:tcPr>
            <w:tcW w:w="1814" w:type="dxa"/>
            <w:tcBorders>
              <w:top w:val="single" w:sz="4" w:space="0" w:color="BFBFBF"/>
              <w:left w:val="single" w:sz="4" w:space="0" w:color="BFBFBF"/>
              <w:bottom w:val="single" w:sz="4" w:space="0" w:color="BFBFBF"/>
              <w:right w:val="single" w:sz="4" w:space="0" w:color="BFBFBF"/>
            </w:tcBorders>
          </w:tcPr>
          <w:p w14:paraId="5489FF6F" w14:textId="77777777" w:rsidR="00E63D5B" w:rsidRDefault="001F059D">
            <w:pPr>
              <w:spacing w:after="40" w:line="240" w:lineRule="auto"/>
              <w:jc w:val="left"/>
            </w:pPr>
            <w:r>
              <w:rPr>
                <w:sz w:val="19"/>
                <w:szCs w:val="19"/>
              </w:rPr>
              <w:t>10,90</w:t>
            </w:r>
          </w:p>
        </w:tc>
        <w:tc>
          <w:tcPr>
            <w:tcW w:w="1814" w:type="dxa"/>
            <w:tcBorders>
              <w:top w:val="single" w:sz="4" w:space="0" w:color="BFBFBF"/>
              <w:left w:val="single" w:sz="4" w:space="0" w:color="BFBFBF"/>
              <w:bottom w:val="single" w:sz="4" w:space="0" w:color="BFBFBF"/>
              <w:right w:val="single" w:sz="4" w:space="0" w:color="BFBFBF"/>
            </w:tcBorders>
          </w:tcPr>
          <w:p w14:paraId="4D1937E4" w14:textId="77777777" w:rsidR="00E63D5B" w:rsidRDefault="001F059D">
            <w:pPr>
              <w:spacing w:after="40" w:line="240" w:lineRule="auto"/>
              <w:jc w:val="left"/>
            </w:pPr>
            <w:r>
              <w:rPr>
                <w:sz w:val="19"/>
                <w:szCs w:val="19"/>
              </w:rPr>
              <w:t>11,60</w:t>
            </w:r>
          </w:p>
        </w:tc>
        <w:tc>
          <w:tcPr>
            <w:tcW w:w="1814" w:type="dxa"/>
            <w:tcBorders>
              <w:top w:val="single" w:sz="4" w:space="0" w:color="BFBFBF"/>
              <w:left w:val="single" w:sz="4" w:space="0" w:color="BFBFBF"/>
              <w:bottom w:val="single" w:sz="4" w:space="0" w:color="BFBFBF"/>
              <w:right w:val="single" w:sz="4" w:space="0" w:color="BFBFBF"/>
            </w:tcBorders>
          </w:tcPr>
          <w:p w14:paraId="5B81F540" w14:textId="77777777" w:rsidR="00E63D5B" w:rsidRDefault="001F059D">
            <w:pPr>
              <w:spacing w:after="40" w:line="240" w:lineRule="auto"/>
              <w:jc w:val="left"/>
            </w:pPr>
            <w:r>
              <w:rPr>
                <w:sz w:val="19"/>
                <w:szCs w:val="19"/>
              </w:rPr>
              <w:t>10,46</w:t>
            </w:r>
          </w:p>
        </w:tc>
        <w:tc>
          <w:tcPr>
            <w:tcW w:w="1814" w:type="dxa"/>
            <w:tcBorders>
              <w:top w:val="single" w:sz="4" w:space="0" w:color="BFBFBF"/>
              <w:left w:val="single" w:sz="4" w:space="0" w:color="BFBFBF"/>
              <w:bottom w:val="single" w:sz="4" w:space="0" w:color="BFBFBF"/>
              <w:right w:val="single" w:sz="4" w:space="0" w:color="BFBFBF"/>
            </w:tcBorders>
          </w:tcPr>
          <w:p w14:paraId="23AA86C5" w14:textId="77777777" w:rsidR="00E63D5B" w:rsidRDefault="001F059D">
            <w:pPr>
              <w:spacing w:after="40" w:line="240" w:lineRule="auto"/>
              <w:jc w:val="left"/>
            </w:pPr>
            <w:r>
              <w:rPr>
                <w:sz w:val="19"/>
                <w:szCs w:val="19"/>
              </w:rPr>
              <w:t>0,39*</w:t>
            </w:r>
          </w:p>
        </w:tc>
      </w:tr>
      <w:tr w:rsidR="00E63D5B" w14:paraId="078CD0E4" w14:textId="77777777">
        <w:trPr>
          <w:cantSplit/>
          <w:jc w:val="center"/>
        </w:trPr>
        <w:tc>
          <w:tcPr>
            <w:tcW w:w="1814" w:type="dxa"/>
            <w:tcBorders>
              <w:top w:val="single" w:sz="4" w:space="0" w:color="BFBFBF"/>
              <w:left w:val="single" w:sz="4" w:space="0" w:color="BFBFBF"/>
              <w:bottom w:val="single" w:sz="4" w:space="0" w:color="BFBFBF"/>
              <w:right w:val="single" w:sz="4" w:space="0" w:color="BFBFBF"/>
            </w:tcBorders>
            <w:shd w:val="clear" w:color="auto" w:fill="F3F6FA"/>
          </w:tcPr>
          <w:p w14:paraId="22F645C2" w14:textId="77777777" w:rsidR="00E63D5B" w:rsidRDefault="001F059D">
            <w:pPr>
              <w:spacing w:after="40" w:line="240" w:lineRule="auto"/>
              <w:jc w:val="left"/>
            </w:pPr>
            <w:proofErr w:type="spellStart"/>
            <w:r>
              <w:rPr>
                <w:sz w:val="19"/>
                <w:szCs w:val="19"/>
              </w:rPr>
              <w:t>Προσω</w:t>
            </w:r>
            <w:proofErr w:type="spellEnd"/>
            <w:r>
              <w:rPr>
                <w:sz w:val="19"/>
                <w:szCs w:val="19"/>
              </w:rPr>
              <w:t xml:space="preserve">πική </w:t>
            </w:r>
            <w:proofErr w:type="spellStart"/>
            <w:r>
              <w:rPr>
                <w:sz w:val="19"/>
                <w:szCs w:val="19"/>
              </w:rPr>
              <w:t>δύν</w:t>
            </w:r>
            <w:proofErr w:type="spellEnd"/>
            <w:r>
              <w:rPr>
                <w:sz w:val="19"/>
                <w:szCs w:val="19"/>
              </w:rPr>
              <w:t>αμη (0–20)</w:t>
            </w:r>
          </w:p>
        </w:tc>
        <w:tc>
          <w:tcPr>
            <w:tcW w:w="1814" w:type="dxa"/>
            <w:tcBorders>
              <w:top w:val="single" w:sz="4" w:space="0" w:color="BFBFBF"/>
              <w:left w:val="single" w:sz="4" w:space="0" w:color="BFBFBF"/>
              <w:bottom w:val="single" w:sz="4" w:space="0" w:color="BFBFBF"/>
              <w:right w:val="single" w:sz="4" w:space="0" w:color="BFBFBF"/>
            </w:tcBorders>
            <w:shd w:val="clear" w:color="auto" w:fill="F3F6FA"/>
          </w:tcPr>
          <w:p w14:paraId="5CDEE603" w14:textId="77777777" w:rsidR="00E63D5B" w:rsidRDefault="001F059D">
            <w:pPr>
              <w:spacing w:after="40" w:line="240" w:lineRule="auto"/>
              <w:jc w:val="left"/>
            </w:pPr>
            <w:r>
              <w:rPr>
                <w:sz w:val="19"/>
                <w:szCs w:val="19"/>
              </w:rPr>
              <w:t>21,53</w:t>
            </w:r>
          </w:p>
        </w:tc>
        <w:tc>
          <w:tcPr>
            <w:tcW w:w="1814" w:type="dxa"/>
            <w:tcBorders>
              <w:top w:val="single" w:sz="4" w:space="0" w:color="BFBFBF"/>
              <w:left w:val="single" w:sz="4" w:space="0" w:color="BFBFBF"/>
              <w:bottom w:val="single" w:sz="4" w:space="0" w:color="BFBFBF"/>
              <w:right w:val="single" w:sz="4" w:space="0" w:color="BFBFBF"/>
            </w:tcBorders>
            <w:shd w:val="clear" w:color="auto" w:fill="F3F6FA"/>
          </w:tcPr>
          <w:p w14:paraId="6E2AE651" w14:textId="77777777" w:rsidR="00E63D5B" w:rsidRDefault="001F059D">
            <w:pPr>
              <w:spacing w:after="40" w:line="240" w:lineRule="auto"/>
              <w:jc w:val="left"/>
            </w:pPr>
            <w:r>
              <w:rPr>
                <w:sz w:val="19"/>
                <w:szCs w:val="19"/>
              </w:rPr>
              <w:t>23,68</w:t>
            </w:r>
          </w:p>
        </w:tc>
        <w:tc>
          <w:tcPr>
            <w:tcW w:w="1814" w:type="dxa"/>
            <w:tcBorders>
              <w:top w:val="single" w:sz="4" w:space="0" w:color="BFBFBF"/>
              <w:left w:val="single" w:sz="4" w:space="0" w:color="BFBFBF"/>
              <w:bottom w:val="single" w:sz="4" w:space="0" w:color="BFBFBF"/>
              <w:right w:val="single" w:sz="4" w:space="0" w:color="BFBFBF"/>
            </w:tcBorders>
            <w:shd w:val="clear" w:color="auto" w:fill="F3F6FA"/>
          </w:tcPr>
          <w:p w14:paraId="7ED29A79" w14:textId="77777777" w:rsidR="00E63D5B" w:rsidRDefault="001F059D">
            <w:pPr>
              <w:spacing w:after="40" w:line="240" w:lineRule="auto"/>
              <w:jc w:val="left"/>
            </w:pPr>
            <w:r>
              <w:rPr>
                <w:sz w:val="19"/>
                <w:szCs w:val="19"/>
              </w:rPr>
              <w:t>20,51</w:t>
            </w:r>
          </w:p>
        </w:tc>
        <w:tc>
          <w:tcPr>
            <w:tcW w:w="1814" w:type="dxa"/>
            <w:tcBorders>
              <w:top w:val="single" w:sz="4" w:space="0" w:color="BFBFBF"/>
              <w:left w:val="single" w:sz="4" w:space="0" w:color="BFBFBF"/>
              <w:bottom w:val="single" w:sz="4" w:space="0" w:color="BFBFBF"/>
              <w:right w:val="single" w:sz="4" w:space="0" w:color="BFBFBF"/>
            </w:tcBorders>
            <w:shd w:val="clear" w:color="auto" w:fill="F3F6FA"/>
          </w:tcPr>
          <w:p w14:paraId="707D0745" w14:textId="77777777" w:rsidR="00E63D5B" w:rsidRDefault="001F059D">
            <w:pPr>
              <w:spacing w:after="40" w:line="240" w:lineRule="auto"/>
              <w:jc w:val="left"/>
            </w:pPr>
            <w:r>
              <w:rPr>
                <w:sz w:val="19"/>
                <w:szCs w:val="19"/>
              </w:rPr>
              <w:t>0,56***</w:t>
            </w:r>
          </w:p>
        </w:tc>
      </w:tr>
      <w:tr w:rsidR="00E63D5B" w14:paraId="29961C45" w14:textId="77777777">
        <w:trPr>
          <w:cantSplit/>
          <w:jc w:val="center"/>
        </w:trPr>
        <w:tc>
          <w:tcPr>
            <w:tcW w:w="1814" w:type="dxa"/>
            <w:tcBorders>
              <w:top w:val="single" w:sz="4" w:space="0" w:color="BFBFBF"/>
              <w:left w:val="single" w:sz="4" w:space="0" w:color="BFBFBF"/>
              <w:bottom w:val="single" w:sz="4" w:space="0" w:color="BFBFBF"/>
              <w:right w:val="single" w:sz="4" w:space="0" w:color="BFBFBF"/>
            </w:tcBorders>
          </w:tcPr>
          <w:p w14:paraId="403660D1" w14:textId="77777777" w:rsidR="00E63D5B" w:rsidRDefault="001F059D">
            <w:pPr>
              <w:spacing w:after="40" w:line="240" w:lineRule="auto"/>
              <w:jc w:val="left"/>
            </w:pPr>
            <w:proofErr w:type="spellStart"/>
            <w:r>
              <w:rPr>
                <w:sz w:val="19"/>
                <w:szCs w:val="19"/>
              </w:rPr>
              <w:t>Νέες</w:t>
            </w:r>
            <w:proofErr w:type="spellEnd"/>
            <w:r>
              <w:rPr>
                <w:sz w:val="19"/>
                <w:szCs w:val="19"/>
              </w:rPr>
              <w:t xml:space="preserve"> </w:t>
            </w:r>
            <w:proofErr w:type="spellStart"/>
            <w:r>
              <w:rPr>
                <w:sz w:val="19"/>
                <w:szCs w:val="19"/>
              </w:rPr>
              <w:t>δυν</w:t>
            </w:r>
            <w:proofErr w:type="spellEnd"/>
            <w:r>
              <w:rPr>
                <w:sz w:val="19"/>
                <w:szCs w:val="19"/>
              </w:rPr>
              <w:t>ατότητες (0–25)</w:t>
            </w:r>
          </w:p>
        </w:tc>
        <w:tc>
          <w:tcPr>
            <w:tcW w:w="1814" w:type="dxa"/>
            <w:tcBorders>
              <w:top w:val="single" w:sz="4" w:space="0" w:color="BFBFBF"/>
              <w:left w:val="single" w:sz="4" w:space="0" w:color="BFBFBF"/>
              <w:bottom w:val="single" w:sz="4" w:space="0" w:color="BFBFBF"/>
              <w:right w:val="single" w:sz="4" w:space="0" w:color="BFBFBF"/>
            </w:tcBorders>
          </w:tcPr>
          <w:p w14:paraId="012D0F4A" w14:textId="77777777" w:rsidR="00E63D5B" w:rsidRDefault="001F059D">
            <w:pPr>
              <w:spacing w:after="40" w:line="240" w:lineRule="auto"/>
              <w:jc w:val="left"/>
            </w:pPr>
            <w:r>
              <w:rPr>
                <w:sz w:val="19"/>
                <w:szCs w:val="19"/>
              </w:rPr>
              <w:t>9,21</w:t>
            </w:r>
          </w:p>
        </w:tc>
        <w:tc>
          <w:tcPr>
            <w:tcW w:w="1814" w:type="dxa"/>
            <w:tcBorders>
              <w:top w:val="single" w:sz="4" w:space="0" w:color="BFBFBF"/>
              <w:left w:val="single" w:sz="4" w:space="0" w:color="BFBFBF"/>
              <w:bottom w:val="single" w:sz="4" w:space="0" w:color="BFBFBF"/>
              <w:right w:val="single" w:sz="4" w:space="0" w:color="BFBFBF"/>
            </w:tcBorders>
          </w:tcPr>
          <w:p w14:paraId="38B049CC" w14:textId="77777777" w:rsidR="00E63D5B" w:rsidRDefault="001F059D">
            <w:pPr>
              <w:spacing w:after="40" w:line="240" w:lineRule="auto"/>
              <w:jc w:val="left"/>
            </w:pPr>
            <w:r>
              <w:rPr>
                <w:sz w:val="19"/>
                <w:szCs w:val="19"/>
              </w:rPr>
              <w:t>10,75</w:t>
            </w:r>
          </w:p>
        </w:tc>
        <w:tc>
          <w:tcPr>
            <w:tcW w:w="1814" w:type="dxa"/>
            <w:tcBorders>
              <w:top w:val="single" w:sz="4" w:space="0" w:color="BFBFBF"/>
              <w:left w:val="single" w:sz="4" w:space="0" w:color="BFBFBF"/>
              <w:bottom w:val="single" w:sz="4" w:space="0" w:color="BFBFBF"/>
              <w:right w:val="single" w:sz="4" w:space="0" w:color="BFBFBF"/>
            </w:tcBorders>
          </w:tcPr>
          <w:p w14:paraId="5E0BEEA0" w14:textId="77777777" w:rsidR="00E63D5B" w:rsidRDefault="001F059D">
            <w:pPr>
              <w:spacing w:after="40" w:line="240" w:lineRule="auto"/>
              <w:jc w:val="left"/>
            </w:pPr>
            <w:r>
              <w:rPr>
                <w:sz w:val="19"/>
                <w:szCs w:val="19"/>
              </w:rPr>
              <w:t>8,27</w:t>
            </w:r>
          </w:p>
        </w:tc>
        <w:tc>
          <w:tcPr>
            <w:tcW w:w="1814" w:type="dxa"/>
            <w:tcBorders>
              <w:top w:val="single" w:sz="4" w:space="0" w:color="BFBFBF"/>
              <w:left w:val="single" w:sz="4" w:space="0" w:color="BFBFBF"/>
              <w:bottom w:val="single" w:sz="4" w:space="0" w:color="BFBFBF"/>
              <w:right w:val="single" w:sz="4" w:space="0" w:color="BFBFBF"/>
            </w:tcBorders>
          </w:tcPr>
          <w:p w14:paraId="0ACE5B6D" w14:textId="77777777" w:rsidR="00E63D5B" w:rsidRDefault="001F059D">
            <w:pPr>
              <w:spacing w:after="40" w:line="240" w:lineRule="auto"/>
              <w:jc w:val="left"/>
            </w:pPr>
            <w:r>
              <w:rPr>
                <w:sz w:val="19"/>
                <w:szCs w:val="19"/>
              </w:rPr>
              <w:t>0,65***</w:t>
            </w:r>
          </w:p>
        </w:tc>
      </w:tr>
      <w:tr w:rsidR="00E63D5B" w14:paraId="44C02AF4" w14:textId="77777777">
        <w:trPr>
          <w:cantSplit/>
          <w:jc w:val="center"/>
        </w:trPr>
        <w:tc>
          <w:tcPr>
            <w:tcW w:w="1814" w:type="dxa"/>
            <w:tcBorders>
              <w:top w:val="single" w:sz="4" w:space="0" w:color="BFBFBF"/>
              <w:left w:val="single" w:sz="4" w:space="0" w:color="BFBFBF"/>
              <w:bottom w:val="single" w:sz="4" w:space="0" w:color="BFBFBF"/>
              <w:right w:val="single" w:sz="4" w:space="0" w:color="BFBFBF"/>
            </w:tcBorders>
            <w:shd w:val="clear" w:color="auto" w:fill="F3F6FA"/>
          </w:tcPr>
          <w:p w14:paraId="7EC75B54" w14:textId="77777777" w:rsidR="00E63D5B" w:rsidRDefault="001F059D">
            <w:pPr>
              <w:spacing w:after="40" w:line="240" w:lineRule="auto"/>
              <w:jc w:val="left"/>
            </w:pPr>
            <w:proofErr w:type="spellStart"/>
            <w:r>
              <w:rPr>
                <w:sz w:val="19"/>
                <w:szCs w:val="19"/>
              </w:rPr>
              <w:t>Πνευμ</w:t>
            </w:r>
            <w:proofErr w:type="spellEnd"/>
            <w:r>
              <w:rPr>
                <w:sz w:val="19"/>
                <w:szCs w:val="19"/>
              </w:rPr>
              <w:t>ατική α</w:t>
            </w:r>
            <w:proofErr w:type="spellStart"/>
            <w:r>
              <w:rPr>
                <w:sz w:val="19"/>
                <w:szCs w:val="19"/>
              </w:rPr>
              <w:t>λλ</w:t>
            </w:r>
            <w:proofErr w:type="spellEnd"/>
            <w:r>
              <w:rPr>
                <w:sz w:val="19"/>
                <w:szCs w:val="19"/>
              </w:rPr>
              <w:t>αγή (0–10)</w:t>
            </w:r>
          </w:p>
        </w:tc>
        <w:tc>
          <w:tcPr>
            <w:tcW w:w="1814" w:type="dxa"/>
            <w:tcBorders>
              <w:top w:val="single" w:sz="4" w:space="0" w:color="BFBFBF"/>
              <w:left w:val="single" w:sz="4" w:space="0" w:color="BFBFBF"/>
              <w:bottom w:val="single" w:sz="4" w:space="0" w:color="BFBFBF"/>
              <w:right w:val="single" w:sz="4" w:space="0" w:color="BFBFBF"/>
            </w:tcBorders>
            <w:shd w:val="clear" w:color="auto" w:fill="F3F6FA"/>
          </w:tcPr>
          <w:p w14:paraId="4107A4AB" w14:textId="77777777" w:rsidR="00E63D5B" w:rsidRDefault="001F059D">
            <w:pPr>
              <w:spacing w:after="40" w:line="240" w:lineRule="auto"/>
              <w:jc w:val="left"/>
            </w:pPr>
            <w:r>
              <w:rPr>
                <w:sz w:val="19"/>
                <w:szCs w:val="19"/>
              </w:rPr>
              <w:t>6,36</w:t>
            </w:r>
          </w:p>
        </w:tc>
        <w:tc>
          <w:tcPr>
            <w:tcW w:w="1814" w:type="dxa"/>
            <w:tcBorders>
              <w:top w:val="single" w:sz="4" w:space="0" w:color="BFBFBF"/>
              <w:left w:val="single" w:sz="4" w:space="0" w:color="BFBFBF"/>
              <w:bottom w:val="single" w:sz="4" w:space="0" w:color="BFBFBF"/>
              <w:right w:val="single" w:sz="4" w:space="0" w:color="BFBFBF"/>
            </w:tcBorders>
            <w:shd w:val="clear" w:color="auto" w:fill="F3F6FA"/>
          </w:tcPr>
          <w:p w14:paraId="5D451766" w14:textId="77777777" w:rsidR="00E63D5B" w:rsidRDefault="001F059D">
            <w:pPr>
              <w:spacing w:after="40" w:line="240" w:lineRule="auto"/>
              <w:jc w:val="left"/>
            </w:pPr>
            <w:r>
              <w:rPr>
                <w:sz w:val="19"/>
                <w:szCs w:val="19"/>
              </w:rPr>
              <w:t>6,71</w:t>
            </w:r>
          </w:p>
        </w:tc>
        <w:tc>
          <w:tcPr>
            <w:tcW w:w="1814" w:type="dxa"/>
            <w:tcBorders>
              <w:top w:val="single" w:sz="4" w:space="0" w:color="BFBFBF"/>
              <w:left w:val="single" w:sz="4" w:space="0" w:color="BFBFBF"/>
              <w:bottom w:val="single" w:sz="4" w:space="0" w:color="BFBFBF"/>
              <w:right w:val="single" w:sz="4" w:space="0" w:color="BFBFBF"/>
            </w:tcBorders>
            <w:shd w:val="clear" w:color="auto" w:fill="F3F6FA"/>
          </w:tcPr>
          <w:p w14:paraId="3E9F97BF" w14:textId="77777777" w:rsidR="00E63D5B" w:rsidRDefault="001F059D">
            <w:pPr>
              <w:spacing w:after="40" w:line="240" w:lineRule="auto"/>
              <w:jc w:val="left"/>
            </w:pPr>
            <w:r>
              <w:rPr>
                <w:sz w:val="19"/>
                <w:szCs w:val="19"/>
              </w:rPr>
              <w:t>6,15</w:t>
            </w:r>
          </w:p>
        </w:tc>
        <w:tc>
          <w:tcPr>
            <w:tcW w:w="1814" w:type="dxa"/>
            <w:tcBorders>
              <w:top w:val="single" w:sz="4" w:space="0" w:color="BFBFBF"/>
              <w:left w:val="single" w:sz="4" w:space="0" w:color="BFBFBF"/>
              <w:bottom w:val="single" w:sz="4" w:space="0" w:color="BFBFBF"/>
              <w:right w:val="single" w:sz="4" w:space="0" w:color="BFBFBF"/>
            </w:tcBorders>
            <w:shd w:val="clear" w:color="auto" w:fill="F3F6FA"/>
          </w:tcPr>
          <w:p w14:paraId="0B8D3F40" w14:textId="77777777" w:rsidR="00E63D5B" w:rsidRDefault="001F059D">
            <w:pPr>
              <w:spacing w:after="40" w:line="240" w:lineRule="auto"/>
              <w:jc w:val="left"/>
            </w:pPr>
            <w:r>
              <w:rPr>
                <w:sz w:val="19"/>
                <w:szCs w:val="19"/>
              </w:rPr>
              <w:t>0,22 (</w:t>
            </w:r>
            <w:proofErr w:type="spellStart"/>
            <w:r>
              <w:rPr>
                <w:sz w:val="19"/>
                <w:szCs w:val="19"/>
              </w:rPr>
              <w:t>μη</w:t>
            </w:r>
            <w:proofErr w:type="spellEnd"/>
            <w:r>
              <w:rPr>
                <w:sz w:val="19"/>
                <w:szCs w:val="19"/>
              </w:rPr>
              <w:t xml:space="preserve"> </w:t>
            </w:r>
            <w:proofErr w:type="spellStart"/>
            <w:r>
              <w:rPr>
                <w:sz w:val="19"/>
                <w:szCs w:val="19"/>
              </w:rPr>
              <w:t>σημ</w:t>
            </w:r>
            <w:proofErr w:type="spellEnd"/>
            <w:r>
              <w:rPr>
                <w:sz w:val="19"/>
                <w:szCs w:val="19"/>
              </w:rPr>
              <w:t>αντική)</w:t>
            </w:r>
          </w:p>
        </w:tc>
      </w:tr>
      <w:tr w:rsidR="00E63D5B" w14:paraId="3AD351FE" w14:textId="77777777">
        <w:trPr>
          <w:cantSplit/>
          <w:jc w:val="center"/>
        </w:trPr>
        <w:tc>
          <w:tcPr>
            <w:tcW w:w="1814" w:type="dxa"/>
            <w:tcBorders>
              <w:top w:val="single" w:sz="4" w:space="0" w:color="BFBFBF"/>
              <w:left w:val="single" w:sz="4" w:space="0" w:color="BFBFBF"/>
              <w:bottom w:val="single" w:sz="4" w:space="0" w:color="BFBFBF"/>
              <w:right w:val="single" w:sz="4" w:space="0" w:color="BFBFBF"/>
            </w:tcBorders>
          </w:tcPr>
          <w:p w14:paraId="1B3CAF08" w14:textId="77777777" w:rsidR="00E63D5B" w:rsidRDefault="001F059D">
            <w:pPr>
              <w:spacing w:after="40" w:line="240" w:lineRule="auto"/>
              <w:jc w:val="left"/>
            </w:pPr>
            <w:proofErr w:type="spellStart"/>
            <w:r>
              <w:rPr>
                <w:sz w:val="19"/>
                <w:szCs w:val="19"/>
              </w:rPr>
              <w:t>Σχέσεις</w:t>
            </w:r>
            <w:proofErr w:type="spellEnd"/>
            <w:r>
              <w:rPr>
                <w:sz w:val="19"/>
                <w:szCs w:val="19"/>
              </w:rPr>
              <w:t xml:space="preserve"> </w:t>
            </w:r>
            <w:proofErr w:type="spellStart"/>
            <w:r>
              <w:rPr>
                <w:sz w:val="19"/>
                <w:szCs w:val="19"/>
              </w:rPr>
              <w:t>με</w:t>
            </w:r>
            <w:proofErr w:type="spellEnd"/>
            <w:r>
              <w:rPr>
                <w:sz w:val="19"/>
                <w:szCs w:val="19"/>
              </w:rPr>
              <w:t xml:space="preserve"> </w:t>
            </w:r>
            <w:proofErr w:type="spellStart"/>
            <w:r>
              <w:rPr>
                <w:sz w:val="19"/>
                <w:szCs w:val="19"/>
              </w:rPr>
              <w:t>άλλ</w:t>
            </w:r>
            <w:proofErr w:type="spellEnd"/>
            <w:r>
              <w:rPr>
                <w:sz w:val="19"/>
                <w:szCs w:val="19"/>
              </w:rPr>
              <w:t>α π</w:t>
            </w:r>
            <w:proofErr w:type="spellStart"/>
            <w:r>
              <w:rPr>
                <w:sz w:val="19"/>
                <w:szCs w:val="19"/>
              </w:rPr>
              <w:t>ρόσω</w:t>
            </w:r>
            <w:proofErr w:type="spellEnd"/>
            <w:r>
              <w:rPr>
                <w:sz w:val="19"/>
                <w:szCs w:val="19"/>
              </w:rPr>
              <w:t>πα (0–35)</w:t>
            </w:r>
          </w:p>
        </w:tc>
        <w:tc>
          <w:tcPr>
            <w:tcW w:w="1814" w:type="dxa"/>
            <w:tcBorders>
              <w:top w:val="single" w:sz="4" w:space="0" w:color="BFBFBF"/>
              <w:left w:val="single" w:sz="4" w:space="0" w:color="BFBFBF"/>
              <w:bottom w:val="single" w:sz="4" w:space="0" w:color="BFBFBF"/>
              <w:right w:val="single" w:sz="4" w:space="0" w:color="BFBFBF"/>
            </w:tcBorders>
          </w:tcPr>
          <w:p w14:paraId="021377F6" w14:textId="77777777" w:rsidR="00E63D5B" w:rsidRDefault="001F059D">
            <w:pPr>
              <w:spacing w:after="40" w:line="240" w:lineRule="auto"/>
              <w:jc w:val="left"/>
            </w:pPr>
            <w:r>
              <w:rPr>
                <w:sz w:val="19"/>
                <w:szCs w:val="19"/>
              </w:rPr>
              <w:t>21,31</w:t>
            </w:r>
          </w:p>
        </w:tc>
        <w:tc>
          <w:tcPr>
            <w:tcW w:w="1814" w:type="dxa"/>
            <w:tcBorders>
              <w:top w:val="single" w:sz="4" w:space="0" w:color="BFBFBF"/>
              <w:left w:val="single" w:sz="4" w:space="0" w:color="BFBFBF"/>
              <w:bottom w:val="single" w:sz="4" w:space="0" w:color="BFBFBF"/>
              <w:right w:val="single" w:sz="4" w:space="0" w:color="BFBFBF"/>
            </w:tcBorders>
          </w:tcPr>
          <w:p w14:paraId="3FEDD8BB" w14:textId="77777777" w:rsidR="00E63D5B" w:rsidRDefault="001F059D">
            <w:pPr>
              <w:spacing w:after="40" w:line="240" w:lineRule="auto"/>
              <w:jc w:val="left"/>
            </w:pPr>
            <w:r>
              <w:rPr>
                <w:sz w:val="19"/>
                <w:szCs w:val="19"/>
              </w:rPr>
              <w:t>24,34</w:t>
            </w:r>
          </w:p>
        </w:tc>
        <w:tc>
          <w:tcPr>
            <w:tcW w:w="1814" w:type="dxa"/>
            <w:tcBorders>
              <w:top w:val="single" w:sz="4" w:space="0" w:color="BFBFBF"/>
              <w:left w:val="single" w:sz="4" w:space="0" w:color="BFBFBF"/>
              <w:bottom w:val="single" w:sz="4" w:space="0" w:color="BFBFBF"/>
              <w:right w:val="single" w:sz="4" w:space="0" w:color="BFBFBF"/>
            </w:tcBorders>
          </w:tcPr>
          <w:p w14:paraId="22A058E7" w14:textId="77777777" w:rsidR="00E63D5B" w:rsidRDefault="001F059D">
            <w:pPr>
              <w:spacing w:after="40" w:line="240" w:lineRule="auto"/>
              <w:jc w:val="left"/>
            </w:pPr>
            <w:r>
              <w:rPr>
                <w:sz w:val="19"/>
                <w:szCs w:val="19"/>
              </w:rPr>
              <w:t>19,56</w:t>
            </w:r>
          </w:p>
        </w:tc>
        <w:tc>
          <w:tcPr>
            <w:tcW w:w="1814" w:type="dxa"/>
            <w:tcBorders>
              <w:top w:val="single" w:sz="4" w:space="0" w:color="BFBFBF"/>
              <w:left w:val="single" w:sz="4" w:space="0" w:color="BFBFBF"/>
              <w:bottom w:val="single" w:sz="4" w:space="0" w:color="BFBFBF"/>
              <w:right w:val="single" w:sz="4" w:space="0" w:color="BFBFBF"/>
            </w:tcBorders>
          </w:tcPr>
          <w:p w14:paraId="7C7F4DA9" w14:textId="77777777" w:rsidR="00E63D5B" w:rsidRDefault="001F059D">
            <w:pPr>
              <w:spacing w:after="40" w:line="240" w:lineRule="auto"/>
              <w:jc w:val="left"/>
            </w:pPr>
            <w:r>
              <w:rPr>
                <w:sz w:val="19"/>
                <w:szCs w:val="19"/>
              </w:rPr>
              <w:t>0,64***</w:t>
            </w:r>
          </w:p>
        </w:tc>
      </w:tr>
      <w:tr w:rsidR="00E63D5B" w14:paraId="366B2137" w14:textId="77777777">
        <w:trPr>
          <w:cantSplit/>
          <w:jc w:val="center"/>
        </w:trPr>
        <w:tc>
          <w:tcPr>
            <w:tcW w:w="1814" w:type="dxa"/>
            <w:tcBorders>
              <w:top w:val="single" w:sz="4" w:space="0" w:color="BFBFBF"/>
              <w:left w:val="single" w:sz="4" w:space="0" w:color="BFBFBF"/>
              <w:bottom w:val="single" w:sz="4" w:space="0" w:color="BFBFBF"/>
              <w:right w:val="single" w:sz="4" w:space="0" w:color="BFBFBF"/>
            </w:tcBorders>
            <w:shd w:val="clear" w:color="auto" w:fill="F3F6FA"/>
          </w:tcPr>
          <w:p w14:paraId="57FD5204" w14:textId="77777777" w:rsidR="00E63D5B" w:rsidRDefault="001F059D">
            <w:pPr>
              <w:spacing w:after="40" w:line="240" w:lineRule="auto"/>
              <w:jc w:val="left"/>
            </w:pPr>
            <w:proofErr w:type="spellStart"/>
            <w:r>
              <w:rPr>
                <w:sz w:val="19"/>
                <w:szCs w:val="19"/>
              </w:rPr>
              <w:t>Συνολική</w:t>
            </w:r>
            <w:proofErr w:type="spellEnd"/>
            <w:r>
              <w:rPr>
                <w:sz w:val="19"/>
                <w:szCs w:val="19"/>
              </w:rPr>
              <w:t xml:space="preserve"> βα</w:t>
            </w:r>
            <w:proofErr w:type="spellStart"/>
            <w:r>
              <w:rPr>
                <w:sz w:val="19"/>
                <w:szCs w:val="19"/>
              </w:rPr>
              <w:t>θμολογί</w:t>
            </w:r>
            <w:proofErr w:type="spellEnd"/>
            <w:r>
              <w:rPr>
                <w:sz w:val="19"/>
                <w:szCs w:val="19"/>
              </w:rPr>
              <w:t>α (0–105)</w:t>
            </w:r>
          </w:p>
        </w:tc>
        <w:tc>
          <w:tcPr>
            <w:tcW w:w="1814" w:type="dxa"/>
            <w:tcBorders>
              <w:top w:val="single" w:sz="4" w:space="0" w:color="BFBFBF"/>
              <w:left w:val="single" w:sz="4" w:space="0" w:color="BFBFBF"/>
              <w:bottom w:val="single" w:sz="4" w:space="0" w:color="BFBFBF"/>
              <w:right w:val="single" w:sz="4" w:space="0" w:color="BFBFBF"/>
            </w:tcBorders>
            <w:shd w:val="clear" w:color="auto" w:fill="F3F6FA"/>
          </w:tcPr>
          <w:p w14:paraId="2C404E01" w14:textId="77777777" w:rsidR="00E63D5B" w:rsidRDefault="001F059D">
            <w:pPr>
              <w:spacing w:after="40" w:line="240" w:lineRule="auto"/>
              <w:jc w:val="left"/>
            </w:pPr>
            <w:r>
              <w:rPr>
                <w:sz w:val="19"/>
                <w:szCs w:val="19"/>
              </w:rPr>
              <w:t>69,38</w:t>
            </w:r>
          </w:p>
        </w:tc>
        <w:tc>
          <w:tcPr>
            <w:tcW w:w="1814" w:type="dxa"/>
            <w:tcBorders>
              <w:top w:val="single" w:sz="4" w:space="0" w:color="BFBFBF"/>
              <w:left w:val="single" w:sz="4" w:space="0" w:color="BFBFBF"/>
              <w:bottom w:val="single" w:sz="4" w:space="0" w:color="BFBFBF"/>
              <w:right w:val="single" w:sz="4" w:space="0" w:color="BFBFBF"/>
            </w:tcBorders>
            <w:shd w:val="clear" w:color="auto" w:fill="F3F6FA"/>
          </w:tcPr>
          <w:p w14:paraId="39FD3B14" w14:textId="77777777" w:rsidR="00E63D5B" w:rsidRDefault="001F059D">
            <w:pPr>
              <w:spacing w:after="40" w:line="240" w:lineRule="auto"/>
              <w:jc w:val="left"/>
            </w:pPr>
            <w:r>
              <w:rPr>
                <w:sz w:val="19"/>
                <w:szCs w:val="19"/>
              </w:rPr>
              <w:t>77,45</w:t>
            </w:r>
          </w:p>
        </w:tc>
        <w:tc>
          <w:tcPr>
            <w:tcW w:w="1814" w:type="dxa"/>
            <w:tcBorders>
              <w:top w:val="single" w:sz="4" w:space="0" w:color="BFBFBF"/>
              <w:left w:val="single" w:sz="4" w:space="0" w:color="BFBFBF"/>
              <w:bottom w:val="single" w:sz="4" w:space="0" w:color="BFBFBF"/>
              <w:right w:val="single" w:sz="4" w:space="0" w:color="BFBFBF"/>
            </w:tcBorders>
            <w:shd w:val="clear" w:color="auto" w:fill="F3F6FA"/>
          </w:tcPr>
          <w:p w14:paraId="42D04961" w14:textId="77777777" w:rsidR="00E63D5B" w:rsidRDefault="001F059D">
            <w:pPr>
              <w:spacing w:after="40" w:line="240" w:lineRule="auto"/>
              <w:jc w:val="left"/>
            </w:pPr>
            <w:r>
              <w:rPr>
                <w:sz w:val="19"/>
                <w:szCs w:val="19"/>
              </w:rPr>
              <w:t>65,13</w:t>
            </w:r>
          </w:p>
        </w:tc>
        <w:tc>
          <w:tcPr>
            <w:tcW w:w="1814" w:type="dxa"/>
            <w:tcBorders>
              <w:top w:val="single" w:sz="4" w:space="0" w:color="BFBFBF"/>
              <w:left w:val="single" w:sz="4" w:space="0" w:color="BFBFBF"/>
              <w:bottom w:val="single" w:sz="4" w:space="0" w:color="BFBFBF"/>
              <w:right w:val="single" w:sz="4" w:space="0" w:color="BFBFBF"/>
            </w:tcBorders>
            <w:shd w:val="clear" w:color="auto" w:fill="F3F6FA"/>
          </w:tcPr>
          <w:p w14:paraId="4B9BE348" w14:textId="77777777" w:rsidR="00E63D5B" w:rsidRDefault="001F059D">
            <w:pPr>
              <w:spacing w:after="40" w:line="240" w:lineRule="auto"/>
              <w:jc w:val="left"/>
            </w:pPr>
            <w:r>
              <w:rPr>
                <w:sz w:val="19"/>
                <w:szCs w:val="19"/>
              </w:rPr>
              <w:t>0,66***</w:t>
            </w:r>
          </w:p>
        </w:tc>
      </w:tr>
    </w:tbl>
    <w:p w14:paraId="46E60F93" w14:textId="77777777" w:rsidR="00E63D5B" w:rsidRDefault="00E63D5B">
      <w:pPr>
        <w:spacing w:after="80"/>
      </w:pPr>
    </w:p>
    <w:p w14:paraId="02F05705" w14:textId="77777777" w:rsidR="00E63D5B" w:rsidRPr="00132066" w:rsidRDefault="001F059D">
      <w:pPr>
        <w:rPr>
          <w:lang w:val="el-GR"/>
        </w:rPr>
      </w:pPr>
      <w:r>
        <w:rPr>
          <w:lang w:val="el-GR"/>
        </w:rPr>
        <w:t xml:space="preserve">Σημείωση: μέσες τιμές. Ένας αστερίσκος δηλώνει στατιστικώς σημαντική διαφορά με </w:t>
      </w:r>
      <w:r>
        <w:t>p</w:t>
      </w:r>
      <w:r>
        <w:rPr>
          <w:lang w:val="el-GR"/>
        </w:rPr>
        <w:t xml:space="preserve"> &lt; 0,05 και τρεις αστερίσκοι με </w:t>
      </w:r>
      <w:r>
        <w:t>p</w:t>
      </w:r>
      <w:r>
        <w:rPr>
          <w:lang w:val="el-GR"/>
        </w:rPr>
        <w:t xml:space="preserve"> &lt; 0,001.</w:t>
      </w:r>
    </w:p>
    <w:p w14:paraId="5946FB69" w14:textId="77777777" w:rsidR="00E63D5B" w:rsidRPr="00132066" w:rsidRDefault="001F059D">
      <w:pPr>
        <w:rPr>
          <w:lang w:val="el-GR"/>
        </w:rPr>
      </w:pPr>
      <w:r>
        <w:rPr>
          <w:lang w:val="el-GR"/>
        </w:rPr>
        <w:t xml:space="preserve">Η </w:t>
      </w:r>
      <w:proofErr w:type="spellStart"/>
      <w:r>
        <w:rPr>
          <w:lang w:val="el-GR"/>
        </w:rPr>
        <w:t>μετατραυματική</w:t>
      </w:r>
      <w:proofErr w:type="spellEnd"/>
      <w:r>
        <w:rPr>
          <w:lang w:val="el-GR"/>
        </w:rPr>
        <w:t xml:space="preserve"> ανάπτυξη των γυναικών (PTGI) εξετάστηκε σε σχέση με τη βία που βίωσαν και με την ψυχική τους κατάσταση. Το πρώτο εύρημα είναι ότι η ένταση της βίας δεν συνδέεται ευθέως με τη </w:t>
      </w:r>
      <w:proofErr w:type="spellStart"/>
      <w:r>
        <w:rPr>
          <w:lang w:val="el-GR"/>
        </w:rPr>
        <w:t>μετατραυματική</w:t>
      </w:r>
      <w:proofErr w:type="spellEnd"/>
      <w:r>
        <w:rPr>
          <w:lang w:val="el-GR"/>
        </w:rPr>
        <w:t xml:space="preserve"> ανάπτυξη: όσες βίωσαν περισσότερη βία δεν ανέφεραν ούτε περισσότερη ούτε λιγότερη ανάπτυξη συνολικά.</w:t>
      </w:r>
    </w:p>
    <w:p w14:paraId="1327C583" w14:textId="77777777" w:rsidR="00E63D5B" w:rsidRPr="00132066" w:rsidRDefault="001F059D">
      <w:pPr>
        <w:rPr>
          <w:lang w:val="el-GR"/>
        </w:rPr>
      </w:pPr>
      <w:r>
        <w:rPr>
          <w:lang w:val="el-GR"/>
        </w:rPr>
        <w:t xml:space="preserve">Για να διερευνηθεί το εύρημα αυτό εφαρμόστηκε ανάλυση διαμεσολάβησης. Η ανάλυση αυτή ελέγχει αν η σχέση ανάμεσα σε δύο μεταβλητές, εδώ την έκθεση στη βία και τη </w:t>
      </w:r>
      <w:proofErr w:type="spellStart"/>
      <w:r>
        <w:rPr>
          <w:lang w:val="el-GR"/>
        </w:rPr>
        <w:t>μετατραυματική</w:t>
      </w:r>
      <w:proofErr w:type="spellEnd"/>
      <w:r>
        <w:rPr>
          <w:lang w:val="el-GR"/>
        </w:rPr>
        <w:t xml:space="preserve"> ανάπτυξη, περνά μέσα από μια τρίτη, ενδιάμεση μεταβλητή, η οποία ονομάζεται διαμεσολαβητής. Ως διαμεσολαβητές εξετάστηκαν το στρες και τα καταθλιπτικά συμπτώματα. Η ανάλυση διακρίνει δύο σκέλη: την έμμεση σχέση, που περνά μέσα από τον διαμεσολαβητή, και την άμεση σχέση, που απομένει όταν ο διαμεσολαβητής ληφθεί υπόψη. Στα δεδομένα της έρευνας τα δύο σκέλη έχουν αντίθετη κατεύθυνση. Η μεγαλύτερη έκθεση στη βία συνδέεται με υψηλότερο στρες και περισσότερα καταθλιπτικά συμπτώματα, και αυτά με τη σειρά τους με χαμηλότερη </w:t>
      </w:r>
      <w:proofErr w:type="spellStart"/>
      <w:r>
        <w:rPr>
          <w:lang w:val="el-GR"/>
        </w:rPr>
        <w:t>μετατραυματική</w:t>
      </w:r>
      <w:proofErr w:type="spellEnd"/>
      <w:r>
        <w:rPr>
          <w:lang w:val="el-GR"/>
        </w:rPr>
        <w:t xml:space="preserve"> ανάπτυξη. Η έμμεση αυτή σχέση είναι αρνητική και στατιστικώς σημαντική. Όταν ληφθεί υπόψη το στρες ή η κατάθλιψη, απομένει μια μικρή θετική άμεση σχέση της βίας με την ανάπτυξη. Επειδή τα δύο σκέλη </w:t>
      </w:r>
      <w:proofErr w:type="spellStart"/>
      <w:r>
        <w:rPr>
          <w:lang w:val="el-GR"/>
        </w:rPr>
        <w:t>αλληλοεξουδετερώνονται</w:t>
      </w:r>
      <w:proofErr w:type="spellEnd"/>
      <w:r>
        <w:rPr>
          <w:lang w:val="el-GR"/>
        </w:rPr>
        <w:t>, η συνολική σχέση εμφανίζεται μηδενική. Το σχήμα αυτό ονομάζεται ανταγωνιστική ή ασυνεπής διαμεσολάβηση (</w:t>
      </w:r>
      <w:r>
        <w:t>MacKinnon</w:t>
      </w:r>
      <w:r>
        <w:rPr>
          <w:lang w:val="el-GR"/>
        </w:rPr>
        <w:t xml:space="preserve"> </w:t>
      </w:r>
      <w:r>
        <w:t>et</w:t>
      </w:r>
      <w:r>
        <w:rPr>
          <w:lang w:val="el-GR"/>
        </w:rPr>
        <w:t xml:space="preserve"> </w:t>
      </w:r>
      <w:r>
        <w:t>al</w:t>
      </w:r>
      <w:r>
        <w:rPr>
          <w:lang w:val="el-GR"/>
        </w:rPr>
        <w:t>., 2000·</w:t>
      </w:r>
      <w:r>
        <w:t>Zhao</w:t>
      </w:r>
      <w:r>
        <w:rPr>
          <w:lang w:val="el-GR"/>
        </w:rPr>
        <w:t xml:space="preserve"> </w:t>
      </w:r>
      <w:r>
        <w:t>et</w:t>
      </w:r>
      <w:r>
        <w:rPr>
          <w:lang w:val="el-GR"/>
        </w:rPr>
        <w:t xml:space="preserve"> </w:t>
      </w:r>
      <w:r>
        <w:t>al</w:t>
      </w:r>
      <w:r>
        <w:rPr>
          <w:lang w:val="el-GR"/>
        </w:rPr>
        <w:t>., 2010).</w:t>
      </w:r>
    </w:p>
    <w:p w14:paraId="77D0FF50" w14:textId="77777777" w:rsidR="00E63D5B" w:rsidRDefault="001F059D">
      <w:pPr>
        <w:keepNext/>
        <w:jc w:val="center"/>
      </w:pPr>
      <w:r>
        <w:rPr>
          <w:noProof/>
          <w:lang w:val="el-GR"/>
        </w:rPr>
        <w:lastRenderedPageBreak/>
        <w:drawing>
          <wp:inline distT="0" distB="0" distL="0" distR="0" wp14:anchorId="451EDA1C" wp14:editId="4BA23FCF">
            <wp:extent cx="5580000" cy="2517733"/>
            <wp:effectExtent l="0" t="0" r="0" b="0"/>
            <wp:docPr id="1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7"/>
                    <a:srcRect/>
                    <a:stretch>
                      <a:fillRect/>
                    </a:stretch>
                  </pic:blipFill>
                  <pic:spPr>
                    <a:xfrm>
                      <a:off x="0" y="0"/>
                      <a:ext cx="5580000" cy="2517733"/>
                    </a:xfrm>
                    <a:prstGeom prst="rect">
                      <a:avLst/>
                    </a:prstGeom>
                    <a:ln/>
                  </pic:spPr>
                </pic:pic>
              </a:graphicData>
            </a:graphic>
          </wp:inline>
        </w:drawing>
      </w:r>
    </w:p>
    <w:p w14:paraId="27DFA044" w14:textId="77777777" w:rsidR="00E63D5B" w:rsidRPr="00132066" w:rsidRDefault="001F059D">
      <w:pPr>
        <w:spacing w:after="240"/>
        <w:jc w:val="center"/>
        <w:rPr>
          <w:lang w:val="el-GR"/>
        </w:rPr>
      </w:pPr>
      <w:r>
        <w:rPr>
          <w:b/>
          <w:bCs/>
          <w:color w:val="555555"/>
          <w:sz w:val="19"/>
          <w:szCs w:val="19"/>
          <w:lang w:val="el-GR"/>
        </w:rPr>
        <w:t xml:space="preserve">Γράφημα 9. </w:t>
      </w:r>
      <w:r>
        <w:rPr>
          <w:i/>
          <w:iCs/>
          <w:color w:val="555555"/>
          <w:sz w:val="19"/>
          <w:szCs w:val="19"/>
          <w:lang w:val="el-GR"/>
        </w:rPr>
        <w:t xml:space="preserve">Ο ρόλος του αντιλαμβανόμενου στρες στη σχέση μεταξύ έκθεσης στη βία και </w:t>
      </w:r>
      <w:proofErr w:type="spellStart"/>
      <w:r>
        <w:rPr>
          <w:i/>
          <w:iCs/>
          <w:color w:val="555555"/>
          <w:sz w:val="19"/>
          <w:szCs w:val="19"/>
          <w:lang w:val="el-GR"/>
        </w:rPr>
        <w:t>μετατραυματικής</w:t>
      </w:r>
      <w:proofErr w:type="spellEnd"/>
      <w:r>
        <w:rPr>
          <w:i/>
          <w:iCs/>
          <w:color w:val="555555"/>
          <w:sz w:val="19"/>
          <w:szCs w:val="19"/>
          <w:lang w:val="el-GR"/>
        </w:rPr>
        <w:t xml:space="preserve"> ανάπτυξης (ανάλυση διαμεσολάβησης). Όταν ως ενδιάμεση μεταβλητή εξετάστηκαν τα καταθλιπτικά συμπτώματα αντί για το στρες, προέκυψε επίσης στατιστικώς σημαντική αρνητική έμμεση επίδραση και μικρή θετική άμεση επίδραση.</w:t>
      </w:r>
    </w:p>
    <w:p w14:paraId="49142273" w14:textId="77777777" w:rsidR="00E63D5B" w:rsidRPr="00132066" w:rsidRDefault="001F059D">
      <w:pPr>
        <w:rPr>
          <w:lang w:val="el-GR"/>
        </w:rPr>
      </w:pPr>
      <w:r>
        <w:rPr>
          <w:lang w:val="el-GR"/>
        </w:rPr>
        <w:t>Αντίστοιχη ανάλυση για την κατάθλιψη έδειξε ότι το στρες διαμεσολαβεί πλήρως τη σχέση της βίας με τα καταθλιπτικά συμπτώματα: η σχέση της βίας με την κατάθλιψη περνά κυρίως μέσα από την αίσθηση ότι οι απαιτήσεις της ζωής ξεπερνούν τις δυνάμεις των γυναικών. Όταν ληφθεί υπόψη το στρες, η άμεση σχέση βίας–κατάθλιψης παύει να είναι στατιστικώς σημαντική.</w:t>
      </w:r>
    </w:p>
    <w:tbl>
      <w:tblPr>
        <w:tblStyle w:val="afff0"/>
        <w:tblW w:w="9072" w:type="dxa"/>
        <w:jc w:val="center"/>
        <w:tblLayout w:type="fixed"/>
        <w:tblLook w:val="0400" w:firstRow="0" w:lastRow="0" w:firstColumn="0" w:lastColumn="0" w:noHBand="0" w:noVBand="1"/>
      </w:tblPr>
      <w:tblGrid>
        <w:gridCol w:w="9072"/>
      </w:tblGrid>
      <w:tr w:rsidR="00E63D5B" w:rsidRPr="00D84B1E" w14:paraId="39EE1B54" w14:textId="77777777">
        <w:trPr>
          <w:tblHeader/>
          <w:jc w:val="center"/>
        </w:trPr>
        <w:tc>
          <w:tcPr>
            <w:tcW w:w="9072" w:type="dxa"/>
            <w:tcBorders>
              <w:top w:val="single" w:sz="6" w:space="0" w:color="B7C7DE"/>
              <w:left w:val="single" w:sz="6" w:space="0" w:color="B7C7DE"/>
              <w:bottom w:val="single" w:sz="6" w:space="0" w:color="B7C7DE"/>
              <w:right w:val="single" w:sz="6" w:space="0" w:color="B7C7DE"/>
            </w:tcBorders>
            <w:shd w:val="clear" w:color="auto" w:fill="EEF2F8"/>
          </w:tcPr>
          <w:p w14:paraId="247A7623" w14:textId="77777777" w:rsidR="00E63D5B" w:rsidRPr="00132066" w:rsidRDefault="001F059D">
            <w:pPr>
              <w:spacing w:after="80" w:line="264" w:lineRule="auto"/>
              <w:jc w:val="left"/>
              <w:rPr>
                <w:lang w:val="el-GR"/>
              </w:rPr>
            </w:pPr>
            <w:r>
              <w:rPr>
                <w:b/>
                <w:bCs/>
                <w:lang w:val="el-GR"/>
              </w:rPr>
              <w:t xml:space="preserve">Σημασία των ευρημάτων: η </w:t>
            </w:r>
            <w:proofErr w:type="spellStart"/>
            <w:r>
              <w:rPr>
                <w:b/>
                <w:bCs/>
                <w:lang w:val="el-GR"/>
              </w:rPr>
              <w:t>μετατραυματική</w:t>
            </w:r>
            <w:proofErr w:type="spellEnd"/>
            <w:r>
              <w:rPr>
                <w:b/>
                <w:bCs/>
                <w:lang w:val="el-GR"/>
              </w:rPr>
              <w:t xml:space="preserve"> ανάπτυξη</w:t>
            </w:r>
          </w:p>
          <w:p w14:paraId="0912E6D3" w14:textId="77777777" w:rsidR="00E63D5B" w:rsidRPr="00132066" w:rsidRDefault="001F059D">
            <w:pPr>
              <w:spacing w:after="80" w:line="264" w:lineRule="auto"/>
              <w:jc w:val="left"/>
              <w:rPr>
                <w:lang w:val="el-GR"/>
              </w:rPr>
            </w:pPr>
            <w:r>
              <w:rPr>
                <w:lang w:val="el-GR"/>
              </w:rPr>
              <w:t>Η ανάπτυξη δεν προκύπτει από τη βία καθαυτή, ούτε είναι αυτόματη συνέπεια του τραύματος. Το τραύμα μπορεί να αποτελέσει αφετηρία θετικής αλλαγής μόνο όταν η ψυχολογική δυσφορία υποχωρήσει επαρκώς ώστε να καταστεί δυνατή η γνωστική επεξεργασία της εμπειρίας (</w:t>
            </w:r>
            <w:r>
              <w:t>Tedeschi</w:t>
            </w:r>
            <w:r>
              <w:rPr>
                <w:lang w:val="el-GR"/>
              </w:rPr>
              <w:t xml:space="preserve"> &amp; </w:t>
            </w:r>
            <w:r>
              <w:t>Calhoun</w:t>
            </w:r>
            <w:r>
              <w:rPr>
                <w:lang w:val="el-GR"/>
              </w:rPr>
              <w:t>, 2004).</w:t>
            </w:r>
          </w:p>
          <w:p w14:paraId="352DD26B" w14:textId="77777777" w:rsidR="00E63D5B" w:rsidRPr="00132066" w:rsidRDefault="001F059D">
            <w:pPr>
              <w:spacing w:after="80" w:line="264" w:lineRule="auto"/>
              <w:jc w:val="left"/>
              <w:rPr>
                <w:lang w:val="el-GR"/>
              </w:rPr>
            </w:pPr>
            <w:r>
              <w:rPr>
                <w:lang w:val="el-GR"/>
              </w:rPr>
              <w:t>Για τις υπηρεσίες αυτό σημαίνει ότι η μείωση του στρες και της κατάθλιψης, μέσω της αποκατάστασης της ασφάλειας και της θεραπείας, δεν αποτελεί μόνο στόχο ανακούφισης αλλά και προϋπόθεση για να μπορέσουν οι γυναίκες να δώσουν νέο νόημα στην εμπειρία τους. Η αίσθηση απώλειας ελέγχου είναι ο κεντρικός μηχανισμός μέσω του οποίου η βία επιδρά στην ψυχική υγεία. Οι παρεμβάσεις που αποκαθιστούν τον έλεγχο των γυναικών στη ζωή τους (ασφάλεια, πόροι, πληροφόρηση, δυνατότητα επιλογής) στοχεύουν ακριβώς σε αυτόν τον μηχανισμό.</w:t>
            </w:r>
          </w:p>
        </w:tc>
      </w:tr>
    </w:tbl>
    <w:p w14:paraId="7E9B31CA" w14:textId="77777777" w:rsidR="00E63D5B" w:rsidRPr="00132066" w:rsidRDefault="00E63D5B">
      <w:pPr>
        <w:spacing w:after="40"/>
        <w:rPr>
          <w:lang w:val="el-GR"/>
        </w:rPr>
      </w:pPr>
    </w:p>
    <w:p w14:paraId="22D20F24" w14:textId="77777777" w:rsidR="00E63D5B" w:rsidRPr="00132066" w:rsidRDefault="001F059D">
      <w:pPr>
        <w:pStyle w:val="20"/>
        <w:rPr>
          <w:lang w:val="el-GR"/>
        </w:rPr>
      </w:pPr>
      <w:bookmarkStart w:id="44" w:name="_Toc242134449"/>
      <w:r>
        <w:rPr>
          <w:lang w:val="el-GR"/>
        </w:rPr>
        <w:t xml:space="preserve">6.8 </w:t>
      </w:r>
      <w:proofErr w:type="spellStart"/>
      <w:r>
        <w:rPr>
          <w:lang w:val="el-GR"/>
        </w:rPr>
        <w:t>Κοινωνικοδημογραφικές</w:t>
      </w:r>
      <w:proofErr w:type="spellEnd"/>
      <w:r>
        <w:rPr>
          <w:lang w:val="el-GR"/>
        </w:rPr>
        <w:t xml:space="preserve"> διαφοροποιήσεις του τραύματος και της ανάπτυξης των γυναικών</w:t>
      </w:r>
      <w:bookmarkEnd w:id="44"/>
    </w:p>
    <w:p w14:paraId="6F9B9C2F" w14:textId="77777777" w:rsidR="00E63D5B" w:rsidRPr="00132066" w:rsidRDefault="001F059D">
      <w:pPr>
        <w:rPr>
          <w:lang w:val="el-GR"/>
        </w:rPr>
      </w:pPr>
      <w:r>
        <w:rPr>
          <w:lang w:val="el-GR"/>
        </w:rPr>
        <w:t xml:space="preserve">Η σοβαρότητα των </w:t>
      </w:r>
      <w:proofErr w:type="spellStart"/>
      <w:r>
        <w:rPr>
          <w:lang w:val="el-GR"/>
        </w:rPr>
        <w:t>μετατραυματικών</w:t>
      </w:r>
      <w:proofErr w:type="spellEnd"/>
      <w:r>
        <w:rPr>
          <w:lang w:val="el-GR"/>
        </w:rPr>
        <w:t xml:space="preserve"> συμπτωμάτων των γυναικών δεν διαφοροποιήθηκε ανάλογα με την ηλικία, την εκπαίδευση, την οικονομική ή επαγγελματική κατάσταση, τον τόπο κατοικίας, τη μητρότητα, τον αριθμό των παιδιών ή την εθνικότητα. Η </w:t>
      </w:r>
      <w:proofErr w:type="spellStart"/>
      <w:r>
        <w:rPr>
          <w:lang w:val="el-GR"/>
        </w:rPr>
        <w:t>μετατραυματική</w:t>
      </w:r>
      <w:proofErr w:type="spellEnd"/>
      <w:r>
        <w:rPr>
          <w:lang w:val="el-GR"/>
        </w:rPr>
        <w:t xml:space="preserve"> επιβάρυνση, δηλαδή, κατανέμεται ομοιόμορφα σε όλες τις </w:t>
      </w:r>
      <w:proofErr w:type="spellStart"/>
      <w:r>
        <w:rPr>
          <w:lang w:val="el-GR"/>
        </w:rPr>
        <w:t>κοινωνικοδημογραφικές</w:t>
      </w:r>
      <w:proofErr w:type="spellEnd"/>
      <w:r>
        <w:rPr>
          <w:lang w:val="el-GR"/>
        </w:rPr>
        <w:t xml:space="preserve"> ομάδες.</w:t>
      </w:r>
    </w:p>
    <w:p w14:paraId="3FC3BB8C" w14:textId="77777777" w:rsidR="00E63D5B" w:rsidRPr="00132066" w:rsidRDefault="001F059D">
      <w:pPr>
        <w:rPr>
          <w:lang w:val="el-GR"/>
        </w:rPr>
      </w:pPr>
      <w:r>
        <w:rPr>
          <w:lang w:val="el-GR"/>
        </w:rPr>
        <w:t xml:space="preserve">Η </w:t>
      </w:r>
      <w:proofErr w:type="spellStart"/>
      <w:r>
        <w:rPr>
          <w:lang w:val="el-GR"/>
        </w:rPr>
        <w:t>μετατραυματική</w:t>
      </w:r>
      <w:proofErr w:type="spellEnd"/>
      <w:r>
        <w:rPr>
          <w:lang w:val="el-GR"/>
        </w:rPr>
        <w:t xml:space="preserve"> ανάπτυξη, αντίθετα, διαφοροποιήθηκε σε δύο σημεία. Οι γυναίκες με πρωτοβάθμια εκπαίδευση ανέφεραν υψηλότερη ανάπτυξη από εκείνες με τριτοβάθμια, και οι </w:t>
      </w:r>
      <w:r>
        <w:rPr>
          <w:lang w:val="el-GR"/>
        </w:rPr>
        <w:lastRenderedPageBreak/>
        <w:t xml:space="preserve">οικονομικά μη ενεργές υψηλότερη από τις εργαζόμενες και τις άνεργες, με μικρά έως μέτρια μεγέθη διαφοράς. Οι μη Ελληνίδες ανέφεραν αριθμητικά υψηλότερη ανάπτυξη, αλλά η διαφορά ήταν οριακή και δεν τεκμηριώθηκε στατιστικά. Σε επιμέρους διαστάσεις, οι γυναίκες των αγροτικών και ημιαστικών περιοχών ανέφεραν υψηλότερη προσωπική δύναμη και οι μητέρες υψηλότερη πνευματική αλλαγή. Τα ευρήματα αυτά χρειάζονται προσοχή: η ομάδα με πρωτοβάθμια εκπαίδευση περιλάμβανε μόνο 7 γυναίκες, και οι διαφορές μπορεί να αντανακλούν διαφορετικούς κοινωνικούς και πολιτισμικούς τρόπους </w:t>
      </w:r>
      <w:proofErr w:type="spellStart"/>
      <w:r>
        <w:rPr>
          <w:lang w:val="el-GR"/>
        </w:rPr>
        <w:t>νοηματοδότησης</w:t>
      </w:r>
      <w:proofErr w:type="spellEnd"/>
      <w:r>
        <w:rPr>
          <w:lang w:val="el-GR"/>
        </w:rPr>
        <w:t xml:space="preserve"> της εμπειρίας παρά πραγματικές διαφορές στην αποκατάσταση.</w:t>
      </w:r>
    </w:p>
    <w:p w14:paraId="52FEC918" w14:textId="77777777" w:rsidR="00E63D5B" w:rsidRPr="00132066" w:rsidRDefault="001F059D">
      <w:pPr>
        <w:pStyle w:val="20"/>
        <w:rPr>
          <w:lang w:val="el-GR"/>
        </w:rPr>
      </w:pPr>
      <w:bookmarkStart w:id="45" w:name="_Toc242134450"/>
      <w:r>
        <w:rPr>
          <w:lang w:val="el-GR"/>
        </w:rPr>
        <w:t>6.9 Σύγκριση μεταναστριών και Ελληνίδων</w:t>
      </w:r>
      <w:bookmarkEnd w:id="45"/>
    </w:p>
    <w:p w14:paraId="13757264" w14:textId="77777777" w:rsidR="00E63D5B" w:rsidRPr="00132066" w:rsidRDefault="001F059D">
      <w:pPr>
        <w:rPr>
          <w:lang w:val="el-GR"/>
        </w:rPr>
      </w:pPr>
      <w:r>
        <w:rPr>
          <w:lang w:val="el-GR"/>
        </w:rPr>
        <w:t xml:space="preserve">Οι 40 μη Ελληνίδες συμμετέχουσες συγκρίθηκαν με τις 181 Ελληνίδες σε όλους τους δείκτες. Παρά τη σαφώς δυσμενέστερη οικονομική τους θέση, οι δύο ομάδες δεν διέφεραν ως προς τα </w:t>
      </w:r>
      <w:proofErr w:type="spellStart"/>
      <w:r>
        <w:rPr>
          <w:lang w:val="el-GR"/>
        </w:rPr>
        <w:t>μετατραυματικά</w:t>
      </w:r>
      <w:proofErr w:type="spellEnd"/>
      <w:r>
        <w:rPr>
          <w:lang w:val="el-GR"/>
        </w:rPr>
        <w:t xml:space="preserve"> συμπτώματα, τη </w:t>
      </w:r>
      <w:proofErr w:type="spellStart"/>
      <w:r>
        <w:rPr>
          <w:lang w:val="el-GR"/>
        </w:rPr>
        <w:t>μετατραυματική</w:t>
      </w:r>
      <w:proofErr w:type="spellEnd"/>
      <w:r>
        <w:rPr>
          <w:lang w:val="el-GR"/>
        </w:rPr>
        <w:t xml:space="preserve"> ανάπτυξη, το στρες, την ανθεκτικότητα, την έκθεση στη βία, τις πρώιμες τραυματικές εμπειρίες, τον γονικό δεσμό ή τις γονικές πρακτικές. Εντοπίστηκαν δύο μόνο διαφορές, και οι δύο προς την αντίθετη από την αναμενόμενη κατεύθυνση: οι Ελληνίδες ανέφεραν περισσότερα καταθλιπτικά συμπτώματα και οι μη Ελληνίδες καλύτερη ποιότητα ζωής ως προς τη σωματική υγεία, με μικρά προς μέτρια μεγέθη διαφοράς. Αντίστοιχα, τα παιδιά των δύο ομάδων δεν διέφεραν στις δυσκολίες, τα </w:t>
      </w:r>
      <w:proofErr w:type="spellStart"/>
      <w:r>
        <w:rPr>
          <w:lang w:val="el-GR"/>
        </w:rPr>
        <w:t>μετατραυματικά</w:t>
      </w:r>
      <w:proofErr w:type="spellEnd"/>
      <w:r>
        <w:rPr>
          <w:lang w:val="el-GR"/>
        </w:rPr>
        <w:t xml:space="preserve"> συμπτώματα, την έκθεση στη βία, την ανθεκτικότητα ή την ανάπτυξη. Η μόνη διαφορά αφορούσε την ικανοποίηση των εφήβων από τις κοινωνικές τους σχέσεις, υψηλότερη στους εφήβους μη ελληνικής καταγωγής, εύρημα από πολύ μικρή ομάδα.</w:t>
      </w:r>
    </w:p>
    <w:tbl>
      <w:tblPr>
        <w:tblStyle w:val="afff1"/>
        <w:tblW w:w="9072" w:type="dxa"/>
        <w:jc w:val="center"/>
        <w:tblLayout w:type="fixed"/>
        <w:tblLook w:val="0400" w:firstRow="0" w:lastRow="0" w:firstColumn="0" w:lastColumn="0" w:noHBand="0" w:noVBand="1"/>
      </w:tblPr>
      <w:tblGrid>
        <w:gridCol w:w="9072"/>
      </w:tblGrid>
      <w:tr w:rsidR="00E63D5B" w:rsidRPr="00D84B1E" w14:paraId="582BAB67" w14:textId="77777777">
        <w:trPr>
          <w:cantSplit/>
          <w:tblHeader/>
          <w:jc w:val="center"/>
        </w:trPr>
        <w:tc>
          <w:tcPr>
            <w:tcW w:w="9072" w:type="dxa"/>
            <w:tcBorders>
              <w:top w:val="single" w:sz="6" w:space="0" w:color="B7C7DE"/>
              <w:left w:val="single" w:sz="6" w:space="0" w:color="B7C7DE"/>
              <w:bottom w:val="single" w:sz="6" w:space="0" w:color="B7C7DE"/>
              <w:right w:val="single" w:sz="6" w:space="0" w:color="B7C7DE"/>
            </w:tcBorders>
            <w:shd w:val="clear" w:color="auto" w:fill="EEF2F8"/>
          </w:tcPr>
          <w:p w14:paraId="1BB2238C" w14:textId="77777777" w:rsidR="00E63D5B" w:rsidRPr="00132066" w:rsidRDefault="001F059D">
            <w:pPr>
              <w:spacing w:after="80" w:line="264" w:lineRule="auto"/>
              <w:jc w:val="left"/>
              <w:rPr>
                <w:lang w:val="el-GR"/>
              </w:rPr>
            </w:pPr>
            <w:r>
              <w:rPr>
                <w:b/>
                <w:bCs/>
                <w:lang w:val="el-GR"/>
              </w:rPr>
              <w:t>Σημασία των ευρημάτων: μετανάστριες και Ελληνίδες</w:t>
            </w:r>
          </w:p>
          <w:p w14:paraId="1C0A74B3" w14:textId="77777777" w:rsidR="00E63D5B" w:rsidRPr="00132066" w:rsidRDefault="001F059D">
            <w:pPr>
              <w:spacing w:after="80" w:line="264" w:lineRule="auto"/>
              <w:jc w:val="left"/>
              <w:rPr>
                <w:lang w:val="el-GR"/>
              </w:rPr>
            </w:pPr>
            <w:r>
              <w:rPr>
                <w:lang w:val="el-GR"/>
              </w:rPr>
              <w:t xml:space="preserve">Η μεγαλύτερη κοινωνική και οικονομική </w:t>
            </w:r>
            <w:proofErr w:type="spellStart"/>
            <w:r>
              <w:rPr>
                <w:lang w:val="el-GR"/>
              </w:rPr>
              <w:t>ευαλωτότητα</w:t>
            </w:r>
            <w:proofErr w:type="spellEnd"/>
            <w:r>
              <w:rPr>
                <w:lang w:val="el-GR"/>
              </w:rPr>
              <w:t xml:space="preserve"> των μεταναστριών δεν μεταφράστηκε σε χειρότερο ψυχολογικό προφίλ. Το εύρημα δεν αναιρεί τα πραγματικά εμπόδια που περιγράφουν οι μετανάστριες στις συνεντεύξεις (γλώσσα, καθεστώς διαμονής, απομόνωση, φόβος απέναντι στις αρχές). Δείχνει όμως ότι η </w:t>
            </w:r>
            <w:proofErr w:type="spellStart"/>
            <w:r>
              <w:rPr>
                <w:lang w:val="el-GR"/>
              </w:rPr>
              <w:t>ευαλωτότητα</w:t>
            </w:r>
            <w:proofErr w:type="spellEnd"/>
            <w:r>
              <w:rPr>
                <w:lang w:val="el-GR"/>
              </w:rPr>
              <w:t xml:space="preserve"> αφορά κυρίως την πρόσβαση σε πόρους και προστασία, όχι μια εγγενή ψυχική «αδυναμία», και ότι πιθανοί προστατευτικοί παράγοντες (κοινοτικά δίκτυα, διαφορετικοί τρόποι </w:t>
            </w:r>
            <w:proofErr w:type="spellStart"/>
            <w:r>
              <w:rPr>
                <w:lang w:val="el-GR"/>
              </w:rPr>
              <w:t>νοηματοδότησης</w:t>
            </w:r>
            <w:proofErr w:type="spellEnd"/>
            <w:r>
              <w:rPr>
                <w:lang w:val="el-GR"/>
              </w:rPr>
              <w:t>) αξίζει να μελετηθούν.</w:t>
            </w:r>
          </w:p>
        </w:tc>
      </w:tr>
    </w:tbl>
    <w:p w14:paraId="1E5B66FC" w14:textId="77777777" w:rsidR="00E63D5B" w:rsidRPr="00132066" w:rsidRDefault="00E63D5B">
      <w:pPr>
        <w:spacing w:after="40"/>
        <w:rPr>
          <w:lang w:val="el-GR"/>
        </w:rPr>
      </w:pPr>
    </w:p>
    <w:p w14:paraId="338A9FD9" w14:textId="77777777" w:rsidR="00E63D5B" w:rsidRPr="00132066" w:rsidRDefault="001F059D">
      <w:pPr>
        <w:pStyle w:val="20"/>
        <w:rPr>
          <w:lang w:val="el-GR"/>
        </w:rPr>
      </w:pPr>
      <w:bookmarkStart w:id="46" w:name="_Toc242134451"/>
      <w:r>
        <w:rPr>
          <w:lang w:val="el-GR"/>
        </w:rPr>
        <w:t>6.10 Συγκεντρωτικοί στατιστικοί δείκτες</w:t>
      </w:r>
      <w:bookmarkEnd w:id="46"/>
    </w:p>
    <w:p w14:paraId="68231A8D" w14:textId="77777777" w:rsidR="000956C9" w:rsidRPr="009C3AC6" w:rsidRDefault="00F56A84">
      <w:pPr>
        <w:rPr>
          <w:lang w:val="el-GR"/>
        </w:rPr>
      </w:pPr>
      <w:r w:rsidRPr="009C3AC6">
        <w:rPr>
          <w:lang w:val="el-GR"/>
        </w:rPr>
        <w:t xml:space="preserve">Η ενότητα αυτή συγκεντρώνει τους βασικούς στατιστικούς δείκτες του ποσοτικού σκέλους, τους οποίους ο Πίνακας 6 παραθέτει αναλυτικά. Στο επίπεδο της ψυχικής υγείας των γυναικών, το 62,7% (126 από 201) υπερέβαινε το όριο της πιθανής ΔΜΤΣ στο PCL-5, με μέση βαθμολογία 36,56 (τυπική απόκλιση 16,23), δηλαδή πάνω από το κλινικό όριο των 33 μονάδων. Το 42,6% υπερέβαινε το όριο της πιθανής κατάθλιψης στο PHQ-9, με μέση βαθμολογία 9,38 (τυπική απόκλιση 6,35), στο ανώτερο άκρο της ήπιας συμπτωματολογίας. Το αντιλαμβανόμενο στρες βρισκόταν σε μέτριο επίπεδο (μέση τιμή 21,52 στα 40, τυπική απόκλιση 6,45), με τη διάσταση της </w:t>
      </w:r>
      <w:proofErr w:type="spellStart"/>
      <w:r w:rsidRPr="009C3AC6">
        <w:rPr>
          <w:lang w:val="el-GR"/>
        </w:rPr>
        <w:t>αβοηθητότητας</w:t>
      </w:r>
      <w:proofErr w:type="spellEnd"/>
      <w:r w:rsidRPr="009C3AC6">
        <w:rPr>
          <w:lang w:val="el-GR"/>
        </w:rPr>
        <w:t xml:space="preserve"> (14,18) να συμβάλλει περισσότερο από την έλλειψη </w:t>
      </w:r>
      <w:proofErr w:type="spellStart"/>
      <w:r w:rsidRPr="009C3AC6">
        <w:rPr>
          <w:lang w:val="el-GR"/>
        </w:rPr>
        <w:t>αυτοαποτελεσματικότητας</w:t>
      </w:r>
      <w:proofErr w:type="spellEnd"/>
      <w:r w:rsidRPr="009C3AC6">
        <w:rPr>
          <w:lang w:val="el-GR"/>
        </w:rPr>
        <w:t xml:space="preserve"> (7,35).</w:t>
      </w:r>
    </w:p>
    <w:p w14:paraId="25BE8172" w14:textId="77777777" w:rsidR="000956C9" w:rsidRPr="009C3AC6" w:rsidRDefault="00F56A84">
      <w:pPr>
        <w:rPr>
          <w:lang w:val="el-GR"/>
        </w:rPr>
      </w:pPr>
      <w:r w:rsidRPr="009C3AC6">
        <w:rPr>
          <w:lang w:val="el-GR"/>
        </w:rPr>
        <w:t xml:space="preserve">Οι γυναίκες με πιθανή ΔΜΤΣ διέφεραν ουσιωδώς από τις υπόλοιπες. Η μέση βαθμολογία κατάθλιψης ήταν 12,42 έναντι 4,32 (t = −12,01, p &lt; 0,001), διαφορά πολύ μεγάλου μεγέθους (d = 1,61). Αντίστοιχα μεγάλες ήταν οι διαφορές στην ποιότητα ζωής, με μεγέθη επίδρασης 1,19 για την ψυχολογική υγεία, 1,03 για τη σωματική, 0,95 για τις κοινωνικές σχέσεις και 0,78 για το περιβάλλον (όλα p &lt; 0,001). Η </w:t>
      </w:r>
      <w:r w:rsidRPr="009C3AC6">
        <w:rPr>
          <w:lang w:val="el-GR"/>
        </w:rPr>
        <w:lastRenderedPageBreak/>
        <w:t>ΔΜΤΣ συσχετιζόταν ισχυρά με την κατάθλιψη (r = 0,75) και το στρες (r = 0,57) και αρνητικά με την ψυχολογική (r = −0,60) και τη σωματική ποιότητα ζωής (r = −0,50), όλα σε επίπεδο p &lt; 0,001.</w:t>
      </w:r>
    </w:p>
    <w:p w14:paraId="1878AD4F" w14:textId="77777777" w:rsidR="000956C9" w:rsidRPr="009C3AC6" w:rsidRDefault="00F56A84">
      <w:pPr>
        <w:rPr>
          <w:lang w:val="el-GR"/>
        </w:rPr>
      </w:pPr>
      <w:r w:rsidRPr="009C3AC6">
        <w:rPr>
          <w:lang w:val="el-GR"/>
        </w:rPr>
        <w:t xml:space="preserve">Η έκθεση σε βία (E-HITS) συσχετιζόταν θετικά, σε μικρό έως μέτριο βαθμό, με τα </w:t>
      </w:r>
      <w:proofErr w:type="spellStart"/>
      <w:r w:rsidRPr="009C3AC6">
        <w:rPr>
          <w:lang w:val="el-GR"/>
        </w:rPr>
        <w:t>μετατραυματικά</w:t>
      </w:r>
      <w:proofErr w:type="spellEnd"/>
      <w:r w:rsidRPr="009C3AC6">
        <w:rPr>
          <w:lang w:val="el-GR"/>
        </w:rPr>
        <w:t xml:space="preserve"> συμπτώματα (r = 0,32), την κατάθλιψη (r = 0,26), το στρες (r = 0,25) και την </w:t>
      </w:r>
      <w:proofErr w:type="spellStart"/>
      <w:r w:rsidRPr="009C3AC6">
        <w:rPr>
          <w:lang w:val="el-GR"/>
        </w:rPr>
        <w:t>αβοηθητότητα</w:t>
      </w:r>
      <w:proofErr w:type="spellEnd"/>
      <w:r w:rsidRPr="009C3AC6">
        <w:rPr>
          <w:lang w:val="el-GR"/>
        </w:rPr>
        <w:t xml:space="preserve"> (r = 0,28), όλα p &lt; 0,001, ενώ η συσχέτισή της με την έλλειψη </w:t>
      </w:r>
      <w:proofErr w:type="spellStart"/>
      <w:r w:rsidRPr="009C3AC6">
        <w:rPr>
          <w:lang w:val="el-GR"/>
        </w:rPr>
        <w:t>αυτοαποτελεσματικότητας</w:t>
      </w:r>
      <w:proofErr w:type="spellEnd"/>
      <w:r w:rsidRPr="009C3AC6">
        <w:rPr>
          <w:lang w:val="el-GR"/>
        </w:rPr>
        <w:t xml:space="preserve"> δεν ήταν στατιστικώς σημαντική (r = 0,13, p = 0,073). Με την ποιότητα ζωής οι συσχετίσεις ήταν μικρές και αρνητικές: −0,25 με τη συνολική, −0,16 με τη σωματική, −0,17 με την ψυχολογική και −0,18 με το περιβάλλον (p &lt; 0,05). Οι γυναίκες με πιθανή ΔΜΤΣ ανέφεραν περισσότερο πρώιμο τραύμα στο ETI, με μικρές έως μέτριες διαφορές στη σωματική (d = 0,43), τη συναισθηματική (d = 0,38) και τη συνολική βαθμολογία (d = 0,44, όλα p &lt; 0,05), και περισσότερη υπερπροστασία (d = 0,51) και αγχώδη ανατροφή (d = 0,49, p &lt; 0,05) στις δικές τους γονικές πρακτικές (PBQ).</w:t>
      </w:r>
    </w:p>
    <w:p w14:paraId="689D80B2" w14:textId="77777777" w:rsidR="000956C9" w:rsidRPr="009C3AC6" w:rsidRDefault="00F56A84">
      <w:pPr>
        <w:rPr>
          <w:lang w:val="el-GR"/>
        </w:rPr>
      </w:pPr>
      <w:r w:rsidRPr="009C3AC6">
        <w:rPr>
          <w:lang w:val="el-GR"/>
        </w:rPr>
        <w:t>Στο επίπεδο των παιδιών, η βία που είχε βιώσει η μητέρα συσχετιζόταν μέτρια με την έκθεση του παιδιού (</w:t>
      </w:r>
      <w:proofErr w:type="spellStart"/>
      <w:r w:rsidRPr="009C3AC6">
        <w:rPr>
          <w:lang w:val="el-GR"/>
        </w:rPr>
        <w:t>Spearman</w:t>
      </w:r>
      <w:proofErr w:type="spellEnd"/>
      <w:r w:rsidRPr="009C3AC6">
        <w:rPr>
          <w:lang w:val="el-GR"/>
        </w:rPr>
        <w:t xml:space="preserve"> ρ = 0,46, p &lt; 0,001, Ν = 117), με συντελεστές φ 0,27 για τη σωματική, 0,24 για τη λεκτική και 0,28 για τη σεξουαλική κακοποίηση (p &lt; 0,01). Τα παιδιά μητέρων με πιθανή ΔΜΤΣ είχαν υψηλότερες βαθμολογίες στο SDQ, με μέτριες διαφορές στα συναισθηματικά συμπτώματα (d = 0,50), στα προβλήματα διαγωγής (d = 0,49) και στη συνολική βαθμολογία δυσκολιών (d = 0,52, p &lt; 0,05), ενώ οι δυσκολίες τους συσχετίζονταν με το στρες (r = 0,35) και αρνητικά με την ποιότητα ζωής της μητέρας (r = −0,34, p &lt; 0,001). Η συσχέτιση των </w:t>
      </w:r>
      <w:proofErr w:type="spellStart"/>
      <w:r w:rsidRPr="009C3AC6">
        <w:rPr>
          <w:lang w:val="el-GR"/>
        </w:rPr>
        <w:t>μετατραυματικών</w:t>
      </w:r>
      <w:proofErr w:type="spellEnd"/>
      <w:r w:rsidRPr="009C3AC6">
        <w:rPr>
          <w:lang w:val="el-GR"/>
        </w:rPr>
        <w:t xml:space="preserve"> συμπτωμάτων των εφήβων (CRIES-8) με εκείνα της μητέρας δεν ήταν στατιστικώς σημαντική (r = 0,25, p = 0,25, n = 24).</w:t>
      </w:r>
    </w:p>
    <w:p w14:paraId="7D5F1410" w14:textId="77777777" w:rsidR="000956C9" w:rsidRDefault="00F56A84">
      <w:pPr>
        <w:rPr>
          <w:lang w:val="el-GR"/>
        </w:rPr>
      </w:pPr>
      <w:r w:rsidRPr="009C3AC6">
        <w:rPr>
          <w:lang w:val="el-GR"/>
        </w:rPr>
        <w:t xml:space="preserve">Τέλος, οι αναλύσεις διαμεσολάβησης έδειξαν ότι η βία συνδέεται με τη </w:t>
      </w:r>
      <w:proofErr w:type="spellStart"/>
      <w:r w:rsidRPr="009C3AC6">
        <w:rPr>
          <w:lang w:val="el-GR"/>
        </w:rPr>
        <w:t>μετατραυματική</w:t>
      </w:r>
      <w:proofErr w:type="spellEnd"/>
      <w:r w:rsidRPr="009C3AC6">
        <w:rPr>
          <w:lang w:val="el-GR"/>
        </w:rPr>
        <w:t xml:space="preserve"> ανάπτυξη μέσω δύο αντίθετων διαδρομών. Η έμμεση σχέση μέσω του στρες ήταν αρνητική (−0,46, 95% ΔΕ [−0,77, −0,18]) και η άμεση θετική (β = 0,52, p = 0,04), ενώ η συνολική σχέση δεν ήταν στατιστικώς σημαντική (p = 0,84). Το ίδιο σχήμα εμφανίστηκε με διαμεσολαβητή την κατάθλιψη (έμμεση −0,43, 95% ΔΕ [−0,70, −0,19]· άμεση β = 0,56, p = 0,04). Η σχέση της βίας με την κατάθλιψη περνούσε πλήρως μέσω του στρες (έμμεση 0,19, 95% ΔΕ [0,08, 0,30]· άμεση β = 0,14, p = 0,058). Η </w:t>
      </w:r>
      <w:proofErr w:type="spellStart"/>
      <w:r w:rsidRPr="009C3AC6">
        <w:rPr>
          <w:lang w:val="el-GR"/>
        </w:rPr>
        <w:t>μετατραυματική</w:t>
      </w:r>
      <w:proofErr w:type="spellEnd"/>
      <w:r w:rsidRPr="009C3AC6">
        <w:rPr>
          <w:lang w:val="el-GR"/>
        </w:rPr>
        <w:t xml:space="preserve"> ανάπτυξη διαφοροποιήθηκε ανάλογα με την εκπαίδευση (F = 4,91, p = 0,008, η² = 0,05) και την εργασία (F = 3,51, p = 0,03, η² = 0,04), με μικρά μεγέθη επίδρασης. Οι Ελληνίδες συμμετέχουσες παρουσίασαν υψηλότερη κατάθλιψη (t = 2,08, d = 0,37) και χαμηλότερη σωματική ποιότητα ζωής (t = −2,25, d = 0,40, p &lt; 0,05) από τις μη Ελληνίδες, διαφορές μικρού προς μέτριου μεγέθους.</w:t>
      </w:r>
    </w:p>
    <w:p w14:paraId="5A0010D7" w14:textId="77777777" w:rsidR="00DC6BB2" w:rsidRPr="009C3AC6" w:rsidRDefault="00DC6BB2">
      <w:pPr>
        <w:rPr>
          <w:lang w:val="el-GR"/>
        </w:rPr>
      </w:pPr>
    </w:p>
    <w:p w14:paraId="43919D21" w14:textId="3305000F" w:rsidR="00E63D5B" w:rsidRPr="00132066" w:rsidRDefault="001F059D">
      <w:pPr>
        <w:keepNext/>
        <w:spacing w:after="60"/>
        <w:jc w:val="left"/>
        <w:rPr>
          <w:lang w:val="el-GR"/>
        </w:rPr>
      </w:pPr>
      <w:r>
        <w:rPr>
          <w:b/>
          <w:bCs/>
          <w:color w:val="1D2B44"/>
          <w:sz w:val="20"/>
          <w:szCs w:val="20"/>
          <w:lang w:val="el-GR"/>
        </w:rPr>
        <w:t xml:space="preserve">Πίνακας </w:t>
      </w:r>
      <w:r w:rsidR="00EB7D96">
        <w:rPr>
          <w:b/>
          <w:bCs/>
          <w:color w:val="1D2B44"/>
          <w:sz w:val="20"/>
          <w:szCs w:val="20"/>
          <w:lang w:val="el-GR"/>
        </w:rPr>
        <w:t>7</w:t>
      </w:r>
      <w:r>
        <w:rPr>
          <w:b/>
          <w:bCs/>
          <w:color w:val="1D2B44"/>
          <w:sz w:val="20"/>
          <w:szCs w:val="20"/>
          <w:lang w:val="el-GR"/>
        </w:rPr>
        <w:t xml:space="preserve">. </w:t>
      </w:r>
      <w:r>
        <w:rPr>
          <w:i/>
          <w:iCs/>
          <w:color w:val="1D2B44"/>
          <w:sz w:val="20"/>
          <w:szCs w:val="20"/>
          <w:lang w:val="el-GR"/>
        </w:rPr>
        <w:t xml:space="preserve">Βασικοί στατιστικοί δείκτες του ποσοτικού σκέλους (γυναίκες, </w:t>
      </w:r>
      <w:r>
        <w:rPr>
          <w:i/>
          <w:iCs/>
          <w:color w:val="1D2B44"/>
          <w:sz w:val="20"/>
          <w:szCs w:val="20"/>
        </w:rPr>
        <w:t>N</w:t>
      </w:r>
      <w:r>
        <w:rPr>
          <w:i/>
          <w:iCs/>
          <w:color w:val="1D2B44"/>
          <w:sz w:val="20"/>
          <w:szCs w:val="20"/>
          <w:lang w:val="el-GR"/>
        </w:rPr>
        <w:t xml:space="preserve"> = 221· παιδιά όπως σημειώνεται)</w:t>
      </w:r>
    </w:p>
    <w:tbl>
      <w:tblPr>
        <w:tblStyle w:val="afff2"/>
        <w:tblW w:w="9072" w:type="dxa"/>
        <w:jc w:val="center"/>
        <w:tblLayout w:type="fixed"/>
        <w:tblLook w:val="0400" w:firstRow="0" w:lastRow="0" w:firstColumn="0" w:lastColumn="0" w:noHBand="0" w:noVBand="1"/>
      </w:tblPr>
      <w:tblGrid>
        <w:gridCol w:w="3024"/>
        <w:gridCol w:w="3024"/>
        <w:gridCol w:w="3024"/>
      </w:tblGrid>
      <w:tr w:rsidR="00E63D5B" w14:paraId="176354B4" w14:textId="77777777">
        <w:trPr>
          <w:cantSplit/>
          <w:tblHeader/>
          <w:jc w:val="center"/>
        </w:trPr>
        <w:tc>
          <w:tcPr>
            <w:tcW w:w="3024" w:type="dxa"/>
            <w:tcBorders>
              <w:top w:val="single" w:sz="4" w:space="0" w:color="BFBFBF"/>
              <w:left w:val="single" w:sz="4" w:space="0" w:color="BFBFBF"/>
              <w:bottom w:val="single" w:sz="4" w:space="0" w:color="BFBFBF"/>
              <w:right w:val="single" w:sz="4" w:space="0" w:color="BFBFBF"/>
            </w:tcBorders>
            <w:shd w:val="clear" w:color="auto" w:fill="4A6FA5"/>
          </w:tcPr>
          <w:p w14:paraId="4445C372" w14:textId="77777777" w:rsidR="00E63D5B" w:rsidRDefault="001F059D">
            <w:pPr>
              <w:spacing w:after="40" w:line="240" w:lineRule="auto"/>
              <w:jc w:val="left"/>
            </w:pPr>
            <w:proofErr w:type="spellStart"/>
            <w:r>
              <w:rPr>
                <w:b/>
                <w:bCs/>
                <w:color w:val="FFFFFF"/>
                <w:sz w:val="19"/>
                <w:szCs w:val="19"/>
              </w:rPr>
              <w:t>Εύρημ</w:t>
            </w:r>
            <w:proofErr w:type="spellEnd"/>
            <w:r>
              <w:rPr>
                <w:b/>
                <w:bCs/>
                <w:color w:val="FFFFFF"/>
                <w:sz w:val="19"/>
                <w:szCs w:val="19"/>
              </w:rPr>
              <w:t>α</w:t>
            </w:r>
          </w:p>
        </w:tc>
        <w:tc>
          <w:tcPr>
            <w:tcW w:w="3024" w:type="dxa"/>
            <w:tcBorders>
              <w:top w:val="single" w:sz="4" w:space="0" w:color="BFBFBF"/>
              <w:left w:val="single" w:sz="4" w:space="0" w:color="BFBFBF"/>
              <w:bottom w:val="single" w:sz="4" w:space="0" w:color="BFBFBF"/>
              <w:right w:val="single" w:sz="4" w:space="0" w:color="BFBFBF"/>
            </w:tcBorders>
            <w:shd w:val="clear" w:color="auto" w:fill="4A6FA5"/>
          </w:tcPr>
          <w:p w14:paraId="4367B8B1" w14:textId="77777777" w:rsidR="00E63D5B" w:rsidRDefault="001F059D">
            <w:pPr>
              <w:spacing w:after="40" w:line="240" w:lineRule="auto"/>
              <w:jc w:val="left"/>
            </w:pPr>
            <w:proofErr w:type="spellStart"/>
            <w:r>
              <w:rPr>
                <w:b/>
                <w:bCs/>
                <w:color w:val="FFFFFF"/>
                <w:sz w:val="19"/>
                <w:szCs w:val="19"/>
              </w:rPr>
              <w:t>Δείκτης</w:t>
            </w:r>
            <w:proofErr w:type="spellEnd"/>
          </w:p>
        </w:tc>
        <w:tc>
          <w:tcPr>
            <w:tcW w:w="3024" w:type="dxa"/>
            <w:tcBorders>
              <w:top w:val="single" w:sz="4" w:space="0" w:color="BFBFBF"/>
              <w:left w:val="single" w:sz="4" w:space="0" w:color="BFBFBF"/>
              <w:bottom w:val="single" w:sz="4" w:space="0" w:color="BFBFBF"/>
              <w:right w:val="single" w:sz="4" w:space="0" w:color="BFBFBF"/>
            </w:tcBorders>
            <w:shd w:val="clear" w:color="auto" w:fill="4A6FA5"/>
          </w:tcPr>
          <w:p w14:paraId="7D2534B1" w14:textId="77777777" w:rsidR="00E63D5B" w:rsidRDefault="001F059D">
            <w:pPr>
              <w:spacing w:after="40" w:line="240" w:lineRule="auto"/>
              <w:jc w:val="left"/>
            </w:pPr>
            <w:proofErr w:type="spellStart"/>
            <w:r>
              <w:rPr>
                <w:b/>
                <w:bCs/>
                <w:color w:val="FFFFFF"/>
                <w:sz w:val="19"/>
                <w:szCs w:val="19"/>
              </w:rPr>
              <w:t>Ερμηνεί</w:t>
            </w:r>
            <w:proofErr w:type="spellEnd"/>
            <w:r>
              <w:rPr>
                <w:b/>
                <w:bCs/>
                <w:color w:val="FFFFFF"/>
                <w:sz w:val="19"/>
                <w:szCs w:val="19"/>
              </w:rPr>
              <w:t xml:space="preserve">α </w:t>
            </w:r>
            <w:proofErr w:type="spellStart"/>
            <w:r>
              <w:rPr>
                <w:b/>
                <w:bCs/>
                <w:color w:val="FFFFFF"/>
                <w:sz w:val="19"/>
                <w:szCs w:val="19"/>
              </w:rPr>
              <w:t>μεγέθους</w:t>
            </w:r>
            <w:proofErr w:type="spellEnd"/>
          </w:p>
        </w:tc>
      </w:tr>
      <w:tr w:rsidR="00E63D5B" w:rsidRPr="00D84B1E" w14:paraId="582358A3"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tcPr>
          <w:p w14:paraId="58B52E2B" w14:textId="77777777" w:rsidR="00E63D5B" w:rsidRDefault="001F059D">
            <w:pPr>
              <w:spacing w:after="40" w:line="240" w:lineRule="auto"/>
              <w:jc w:val="left"/>
            </w:pPr>
            <w:proofErr w:type="spellStart"/>
            <w:r>
              <w:rPr>
                <w:sz w:val="19"/>
                <w:szCs w:val="19"/>
              </w:rPr>
              <w:t>Πιθ</w:t>
            </w:r>
            <w:proofErr w:type="spellEnd"/>
            <w:r>
              <w:rPr>
                <w:sz w:val="19"/>
                <w:szCs w:val="19"/>
              </w:rPr>
              <w:t>ανή ΔΜΤΣ (PCL-5 ≥ 33)</w:t>
            </w:r>
          </w:p>
        </w:tc>
        <w:tc>
          <w:tcPr>
            <w:tcW w:w="3024" w:type="dxa"/>
            <w:tcBorders>
              <w:top w:val="single" w:sz="4" w:space="0" w:color="BFBFBF"/>
              <w:left w:val="single" w:sz="4" w:space="0" w:color="BFBFBF"/>
              <w:bottom w:val="single" w:sz="4" w:space="0" w:color="BFBFBF"/>
              <w:right w:val="single" w:sz="4" w:space="0" w:color="BFBFBF"/>
            </w:tcBorders>
          </w:tcPr>
          <w:p w14:paraId="39B90AFA" w14:textId="77777777" w:rsidR="00E63D5B" w:rsidRDefault="001F059D">
            <w:pPr>
              <w:spacing w:after="40" w:line="240" w:lineRule="auto"/>
              <w:jc w:val="left"/>
            </w:pPr>
            <w:r>
              <w:rPr>
                <w:sz w:val="19"/>
                <w:szCs w:val="19"/>
              </w:rPr>
              <w:t xml:space="preserve">126/201 = </w:t>
            </w:r>
            <w:proofErr w:type="gramStart"/>
            <w:r>
              <w:rPr>
                <w:sz w:val="19"/>
                <w:szCs w:val="19"/>
              </w:rPr>
              <w:t>62,7%·</w:t>
            </w:r>
            <w:proofErr w:type="gramEnd"/>
            <w:r>
              <w:rPr>
                <w:sz w:val="19"/>
                <w:szCs w:val="19"/>
              </w:rPr>
              <w:t xml:space="preserve"> M = 36,56, SD = 16,23</w:t>
            </w:r>
          </w:p>
        </w:tc>
        <w:tc>
          <w:tcPr>
            <w:tcW w:w="3024" w:type="dxa"/>
            <w:tcBorders>
              <w:top w:val="single" w:sz="4" w:space="0" w:color="BFBFBF"/>
              <w:left w:val="single" w:sz="4" w:space="0" w:color="BFBFBF"/>
              <w:bottom w:val="single" w:sz="4" w:space="0" w:color="BFBFBF"/>
              <w:right w:val="single" w:sz="4" w:space="0" w:color="BFBFBF"/>
            </w:tcBorders>
          </w:tcPr>
          <w:p w14:paraId="0AE6ED1E" w14:textId="77777777" w:rsidR="00E63D5B" w:rsidRPr="00132066" w:rsidRDefault="001F059D">
            <w:pPr>
              <w:spacing w:after="40" w:line="240" w:lineRule="auto"/>
              <w:jc w:val="left"/>
              <w:rPr>
                <w:lang w:val="el-GR"/>
              </w:rPr>
            </w:pPr>
            <w:r>
              <w:rPr>
                <w:sz w:val="19"/>
                <w:szCs w:val="19"/>
                <w:lang w:val="el-GR"/>
              </w:rPr>
              <w:t>Υψηλό ποσοστό στο δείγμα· μέση τιμή πάνω από το κλινικό όριο (33)</w:t>
            </w:r>
          </w:p>
        </w:tc>
      </w:tr>
      <w:tr w:rsidR="00E63D5B" w:rsidRPr="00D84B1E" w14:paraId="79AD6075"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5F0C3CA8" w14:textId="77777777" w:rsidR="00E63D5B" w:rsidRDefault="001F059D">
            <w:pPr>
              <w:spacing w:after="40" w:line="240" w:lineRule="auto"/>
              <w:jc w:val="left"/>
            </w:pPr>
            <w:proofErr w:type="spellStart"/>
            <w:r>
              <w:rPr>
                <w:sz w:val="19"/>
                <w:szCs w:val="19"/>
              </w:rPr>
              <w:t>Πιθ</w:t>
            </w:r>
            <w:proofErr w:type="spellEnd"/>
            <w:r>
              <w:rPr>
                <w:sz w:val="19"/>
                <w:szCs w:val="19"/>
              </w:rPr>
              <w:t>ανή κα</w:t>
            </w:r>
            <w:proofErr w:type="spellStart"/>
            <w:r>
              <w:rPr>
                <w:sz w:val="19"/>
                <w:szCs w:val="19"/>
              </w:rPr>
              <w:t>τάθλιψη</w:t>
            </w:r>
            <w:proofErr w:type="spellEnd"/>
            <w:r>
              <w:rPr>
                <w:sz w:val="19"/>
                <w:szCs w:val="19"/>
              </w:rPr>
              <w:t xml:space="preserve"> (PHQ-9 ≥ 10)</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737FD1E5" w14:textId="77777777" w:rsidR="00E63D5B" w:rsidRDefault="001F059D">
            <w:pPr>
              <w:spacing w:after="40" w:line="240" w:lineRule="auto"/>
              <w:jc w:val="left"/>
            </w:pPr>
            <w:r>
              <w:rPr>
                <w:sz w:val="19"/>
                <w:szCs w:val="19"/>
              </w:rPr>
              <w:t>42,6%· M = 9,38, SD = 6,35</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09A4285E" w14:textId="77777777" w:rsidR="00E63D5B" w:rsidRPr="00132066" w:rsidRDefault="001F059D">
            <w:pPr>
              <w:spacing w:after="40" w:line="240" w:lineRule="auto"/>
              <w:jc w:val="left"/>
              <w:rPr>
                <w:lang w:val="el-GR"/>
              </w:rPr>
            </w:pPr>
            <w:r>
              <w:rPr>
                <w:sz w:val="19"/>
                <w:szCs w:val="19"/>
                <w:lang w:val="el-GR"/>
              </w:rPr>
              <w:t>Υψηλό ποσοστό στο δείγμα· μέση τιμή στο επίπεδο ήπιας συμπτωματολογίας (5–9)</w:t>
            </w:r>
          </w:p>
        </w:tc>
      </w:tr>
      <w:tr w:rsidR="00E63D5B" w14:paraId="5711E562"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tcPr>
          <w:p w14:paraId="0B5A5F32" w14:textId="77777777" w:rsidR="00E63D5B" w:rsidRDefault="001F059D">
            <w:pPr>
              <w:spacing w:after="40" w:line="240" w:lineRule="auto"/>
              <w:jc w:val="left"/>
            </w:pPr>
            <w:proofErr w:type="spellStart"/>
            <w:r>
              <w:rPr>
                <w:sz w:val="19"/>
                <w:szCs w:val="19"/>
              </w:rPr>
              <w:t>Αντιλ</w:t>
            </w:r>
            <w:proofErr w:type="spellEnd"/>
            <w:r>
              <w:rPr>
                <w:sz w:val="19"/>
                <w:szCs w:val="19"/>
              </w:rPr>
              <w:t xml:space="preserve">αμβανόμενο </w:t>
            </w:r>
            <w:proofErr w:type="spellStart"/>
            <w:r>
              <w:rPr>
                <w:sz w:val="19"/>
                <w:szCs w:val="19"/>
              </w:rPr>
              <w:t>στρες</w:t>
            </w:r>
            <w:proofErr w:type="spellEnd"/>
            <w:r>
              <w:rPr>
                <w:sz w:val="19"/>
                <w:szCs w:val="19"/>
              </w:rPr>
              <w:t xml:space="preserve"> (PSS-10)</w:t>
            </w:r>
          </w:p>
        </w:tc>
        <w:tc>
          <w:tcPr>
            <w:tcW w:w="3024" w:type="dxa"/>
            <w:tcBorders>
              <w:top w:val="single" w:sz="4" w:space="0" w:color="BFBFBF"/>
              <w:left w:val="single" w:sz="4" w:space="0" w:color="BFBFBF"/>
              <w:bottom w:val="single" w:sz="4" w:space="0" w:color="BFBFBF"/>
              <w:right w:val="single" w:sz="4" w:space="0" w:color="BFBFBF"/>
            </w:tcBorders>
          </w:tcPr>
          <w:p w14:paraId="2502A9DA" w14:textId="77777777" w:rsidR="00E63D5B" w:rsidRDefault="001F059D">
            <w:pPr>
              <w:spacing w:after="40" w:line="240" w:lineRule="auto"/>
              <w:jc w:val="left"/>
            </w:pPr>
            <w:r>
              <w:rPr>
                <w:sz w:val="19"/>
                <w:szCs w:val="19"/>
              </w:rPr>
              <w:t>M</w:t>
            </w:r>
            <w:r>
              <w:rPr>
                <w:sz w:val="19"/>
                <w:szCs w:val="19"/>
                <w:lang w:val="el-GR"/>
              </w:rPr>
              <w:t xml:space="preserve"> = 21,52, </w:t>
            </w:r>
            <w:r>
              <w:rPr>
                <w:sz w:val="19"/>
                <w:szCs w:val="19"/>
              </w:rPr>
              <w:t>SD</w:t>
            </w:r>
            <w:r>
              <w:rPr>
                <w:sz w:val="19"/>
                <w:szCs w:val="19"/>
                <w:lang w:val="el-GR"/>
              </w:rPr>
              <w:t xml:space="preserve"> = 6,45· </w:t>
            </w:r>
            <w:proofErr w:type="spellStart"/>
            <w:r>
              <w:rPr>
                <w:sz w:val="19"/>
                <w:szCs w:val="19"/>
                <w:lang w:val="el-GR"/>
              </w:rPr>
              <w:t>αβοηθητότητα</w:t>
            </w:r>
            <w:proofErr w:type="spellEnd"/>
            <w:r>
              <w:rPr>
                <w:sz w:val="19"/>
                <w:szCs w:val="19"/>
                <w:lang w:val="el-GR"/>
              </w:rPr>
              <w:t xml:space="preserve"> </w:t>
            </w:r>
            <w:r>
              <w:rPr>
                <w:sz w:val="19"/>
                <w:szCs w:val="19"/>
              </w:rPr>
              <w:t>M</w:t>
            </w:r>
            <w:r>
              <w:rPr>
                <w:sz w:val="19"/>
                <w:szCs w:val="19"/>
                <w:lang w:val="el-GR"/>
              </w:rPr>
              <w:t xml:space="preserve"> = 14,18· έλλειψη </w:t>
            </w:r>
            <w:proofErr w:type="spellStart"/>
            <w:r>
              <w:rPr>
                <w:sz w:val="19"/>
                <w:szCs w:val="19"/>
                <w:lang w:val="el-GR"/>
              </w:rPr>
              <w:t>αυτοαποτελ</w:t>
            </w:r>
            <w:proofErr w:type="spellEnd"/>
            <w:r>
              <w:rPr>
                <w:sz w:val="19"/>
                <w:szCs w:val="19"/>
                <w:lang w:val="el-GR"/>
              </w:rPr>
              <w:t xml:space="preserve">. </w:t>
            </w:r>
            <w:r>
              <w:rPr>
                <w:sz w:val="19"/>
                <w:szCs w:val="19"/>
              </w:rPr>
              <w:t>M = 7,35</w:t>
            </w:r>
          </w:p>
        </w:tc>
        <w:tc>
          <w:tcPr>
            <w:tcW w:w="3024" w:type="dxa"/>
            <w:tcBorders>
              <w:top w:val="single" w:sz="4" w:space="0" w:color="BFBFBF"/>
              <w:left w:val="single" w:sz="4" w:space="0" w:color="BFBFBF"/>
              <w:bottom w:val="single" w:sz="4" w:space="0" w:color="BFBFBF"/>
              <w:right w:val="single" w:sz="4" w:space="0" w:color="BFBFBF"/>
            </w:tcBorders>
          </w:tcPr>
          <w:p w14:paraId="723ADBDF" w14:textId="77777777" w:rsidR="00E63D5B" w:rsidRDefault="001F059D">
            <w:pPr>
              <w:spacing w:after="40" w:line="240" w:lineRule="auto"/>
              <w:jc w:val="left"/>
            </w:pPr>
            <w:proofErr w:type="spellStart"/>
            <w:r>
              <w:rPr>
                <w:sz w:val="19"/>
                <w:szCs w:val="19"/>
              </w:rPr>
              <w:t>Μέτριο</w:t>
            </w:r>
            <w:proofErr w:type="spellEnd"/>
            <w:r>
              <w:rPr>
                <w:sz w:val="19"/>
                <w:szCs w:val="19"/>
              </w:rPr>
              <w:t xml:space="preserve"> επίπ</w:t>
            </w:r>
            <w:proofErr w:type="spellStart"/>
            <w:r>
              <w:rPr>
                <w:sz w:val="19"/>
                <w:szCs w:val="19"/>
              </w:rPr>
              <w:t>εδο</w:t>
            </w:r>
            <w:proofErr w:type="spellEnd"/>
          </w:p>
        </w:tc>
      </w:tr>
      <w:tr w:rsidR="00E63D5B" w14:paraId="4CB0264C"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6499C5AE" w14:textId="77777777" w:rsidR="00E63D5B" w:rsidRDefault="001F059D">
            <w:pPr>
              <w:spacing w:after="40" w:line="240" w:lineRule="auto"/>
              <w:jc w:val="left"/>
            </w:pPr>
            <w:r>
              <w:rPr>
                <w:sz w:val="19"/>
                <w:szCs w:val="19"/>
              </w:rPr>
              <w:t>ΔΜΤΣ και κα</w:t>
            </w:r>
            <w:proofErr w:type="spellStart"/>
            <w:r>
              <w:rPr>
                <w:sz w:val="19"/>
                <w:szCs w:val="19"/>
              </w:rPr>
              <w:t>τάθλιψη</w:t>
            </w:r>
            <w:proofErr w:type="spellEnd"/>
            <w:r>
              <w:rPr>
                <w:sz w:val="19"/>
                <w:szCs w:val="19"/>
              </w:rPr>
              <w:t xml:space="preserve"> (</w:t>
            </w:r>
            <w:proofErr w:type="spellStart"/>
            <w:r>
              <w:rPr>
                <w:sz w:val="19"/>
                <w:szCs w:val="19"/>
              </w:rPr>
              <w:t>ομάδες</w:t>
            </w:r>
            <w:proofErr w:type="spellEnd"/>
            <w:r>
              <w:rPr>
                <w:sz w:val="19"/>
                <w:szCs w:val="19"/>
              </w:rPr>
              <w:t>)</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7A417F52" w14:textId="77777777" w:rsidR="00E63D5B" w:rsidRPr="000B7AA5" w:rsidRDefault="001F059D">
            <w:pPr>
              <w:spacing w:after="40" w:line="240" w:lineRule="auto"/>
              <w:jc w:val="left"/>
              <w:rPr>
                <w:lang w:val="el-GR"/>
              </w:rPr>
            </w:pPr>
            <w:r>
              <w:rPr>
                <w:sz w:val="19"/>
                <w:szCs w:val="19"/>
              </w:rPr>
              <w:t>M</w:t>
            </w:r>
            <w:r w:rsidRPr="000B7AA5">
              <w:rPr>
                <w:sz w:val="19"/>
                <w:szCs w:val="19"/>
                <w:lang w:val="el-GR"/>
              </w:rPr>
              <w:t xml:space="preserve"> = 12,42 έναντι 4,32, </w:t>
            </w:r>
            <w:r>
              <w:rPr>
                <w:sz w:val="19"/>
                <w:szCs w:val="19"/>
              </w:rPr>
              <w:t>t</w:t>
            </w:r>
            <w:r w:rsidRPr="000B7AA5">
              <w:rPr>
                <w:sz w:val="19"/>
                <w:szCs w:val="19"/>
                <w:lang w:val="el-GR"/>
              </w:rPr>
              <w:t xml:space="preserve"> = −12,01, </w:t>
            </w:r>
            <w:r>
              <w:rPr>
                <w:sz w:val="19"/>
                <w:szCs w:val="19"/>
              </w:rPr>
              <w:t>p</w:t>
            </w:r>
            <w:r w:rsidRPr="000B7AA5">
              <w:rPr>
                <w:sz w:val="19"/>
                <w:szCs w:val="19"/>
                <w:lang w:val="el-GR"/>
              </w:rPr>
              <w:t xml:space="preserve"> &lt; 0,001, </w:t>
            </w:r>
            <w:r>
              <w:rPr>
                <w:sz w:val="19"/>
                <w:szCs w:val="19"/>
              </w:rPr>
              <w:t>d</w:t>
            </w:r>
            <w:r w:rsidRPr="000B7AA5">
              <w:rPr>
                <w:sz w:val="19"/>
                <w:szCs w:val="19"/>
                <w:lang w:val="el-GR"/>
              </w:rPr>
              <w:t xml:space="preserve"> = 1,61</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3DBE6832" w14:textId="77777777" w:rsidR="00E63D5B" w:rsidRDefault="001F059D">
            <w:pPr>
              <w:spacing w:after="40" w:line="240" w:lineRule="auto"/>
              <w:jc w:val="left"/>
            </w:pPr>
            <w:proofErr w:type="spellStart"/>
            <w:r>
              <w:rPr>
                <w:sz w:val="19"/>
                <w:szCs w:val="19"/>
              </w:rPr>
              <w:t>Πολύ</w:t>
            </w:r>
            <w:proofErr w:type="spellEnd"/>
            <w:r>
              <w:rPr>
                <w:sz w:val="19"/>
                <w:szCs w:val="19"/>
              </w:rPr>
              <w:t xml:space="preserve"> </w:t>
            </w:r>
            <w:proofErr w:type="spellStart"/>
            <w:r>
              <w:rPr>
                <w:sz w:val="19"/>
                <w:szCs w:val="19"/>
              </w:rPr>
              <w:t>μεγάλη</w:t>
            </w:r>
            <w:proofErr w:type="spellEnd"/>
            <w:r>
              <w:rPr>
                <w:sz w:val="19"/>
                <w:szCs w:val="19"/>
              </w:rPr>
              <w:t xml:space="preserve"> </w:t>
            </w:r>
            <w:proofErr w:type="spellStart"/>
            <w:r>
              <w:rPr>
                <w:sz w:val="19"/>
                <w:szCs w:val="19"/>
              </w:rPr>
              <w:t>δι</w:t>
            </w:r>
            <w:proofErr w:type="spellEnd"/>
            <w:r>
              <w:rPr>
                <w:sz w:val="19"/>
                <w:szCs w:val="19"/>
              </w:rPr>
              <w:t>αφορά</w:t>
            </w:r>
          </w:p>
        </w:tc>
      </w:tr>
      <w:tr w:rsidR="00E63D5B" w14:paraId="5E658182"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tcPr>
          <w:p w14:paraId="1CBA0D2D" w14:textId="77777777" w:rsidR="00E63D5B" w:rsidRPr="00132066" w:rsidRDefault="001F059D">
            <w:pPr>
              <w:spacing w:after="40" w:line="240" w:lineRule="auto"/>
              <w:jc w:val="left"/>
              <w:rPr>
                <w:lang w:val="el-GR"/>
              </w:rPr>
            </w:pPr>
            <w:r>
              <w:rPr>
                <w:sz w:val="19"/>
                <w:szCs w:val="19"/>
                <w:lang w:val="el-GR"/>
              </w:rPr>
              <w:t>ΔΜΤΣ και ποιότητα ζωής: ψυχολογική / σωματική / κοινωνική / περιβάλλον</w:t>
            </w:r>
          </w:p>
        </w:tc>
        <w:tc>
          <w:tcPr>
            <w:tcW w:w="3024" w:type="dxa"/>
            <w:tcBorders>
              <w:top w:val="single" w:sz="4" w:space="0" w:color="BFBFBF"/>
              <w:left w:val="single" w:sz="4" w:space="0" w:color="BFBFBF"/>
              <w:bottom w:val="single" w:sz="4" w:space="0" w:color="BFBFBF"/>
              <w:right w:val="single" w:sz="4" w:space="0" w:color="BFBFBF"/>
            </w:tcBorders>
          </w:tcPr>
          <w:p w14:paraId="2898297A" w14:textId="77777777" w:rsidR="00E63D5B" w:rsidRDefault="001F059D">
            <w:pPr>
              <w:spacing w:after="40" w:line="240" w:lineRule="auto"/>
              <w:jc w:val="left"/>
            </w:pPr>
            <w:r>
              <w:rPr>
                <w:sz w:val="19"/>
                <w:szCs w:val="19"/>
              </w:rPr>
              <w:t>d = 1,19 / 1,03 / 0,95 / 0,78 (</w:t>
            </w:r>
            <w:proofErr w:type="spellStart"/>
            <w:r>
              <w:rPr>
                <w:sz w:val="19"/>
                <w:szCs w:val="19"/>
              </w:rPr>
              <w:t>όλ</w:t>
            </w:r>
            <w:proofErr w:type="spellEnd"/>
            <w:r>
              <w:rPr>
                <w:sz w:val="19"/>
                <w:szCs w:val="19"/>
              </w:rPr>
              <w:t>α p &lt; 0,001)</w:t>
            </w:r>
          </w:p>
        </w:tc>
        <w:tc>
          <w:tcPr>
            <w:tcW w:w="3024" w:type="dxa"/>
            <w:tcBorders>
              <w:top w:val="single" w:sz="4" w:space="0" w:color="BFBFBF"/>
              <w:left w:val="single" w:sz="4" w:space="0" w:color="BFBFBF"/>
              <w:bottom w:val="single" w:sz="4" w:space="0" w:color="BFBFBF"/>
              <w:right w:val="single" w:sz="4" w:space="0" w:color="BFBFBF"/>
            </w:tcBorders>
          </w:tcPr>
          <w:p w14:paraId="707BF4A6" w14:textId="77777777" w:rsidR="00E63D5B" w:rsidRDefault="001F059D">
            <w:pPr>
              <w:spacing w:after="40" w:line="240" w:lineRule="auto"/>
              <w:jc w:val="left"/>
            </w:pPr>
            <w:proofErr w:type="spellStart"/>
            <w:r>
              <w:rPr>
                <w:sz w:val="19"/>
                <w:szCs w:val="19"/>
              </w:rPr>
              <w:t>Μεγάλες</w:t>
            </w:r>
            <w:proofErr w:type="spellEnd"/>
            <w:r>
              <w:rPr>
                <w:sz w:val="19"/>
                <w:szCs w:val="19"/>
              </w:rPr>
              <w:t xml:space="preserve"> </w:t>
            </w:r>
            <w:proofErr w:type="spellStart"/>
            <w:r>
              <w:rPr>
                <w:sz w:val="19"/>
                <w:szCs w:val="19"/>
              </w:rPr>
              <w:t>δι</w:t>
            </w:r>
            <w:proofErr w:type="spellEnd"/>
            <w:r>
              <w:rPr>
                <w:sz w:val="19"/>
                <w:szCs w:val="19"/>
              </w:rPr>
              <w:t>αφορές</w:t>
            </w:r>
          </w:p>
        </w:tc>
      </w:tr>
      <w:tr w:rsidR="00E63D5B" w14:paraId="04F63405"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77264625" w14:textId="77777777" w:rsidR="00E63D5B" w:rsidRPr="00132066" w:rsidRDefault="001F059D">
            <w:pPr>
              <w:spacing w:after="40" w:line="240" w:lineRule="auto"/>
              <w:jc w:val="left"/>
              <w:rPr>
                <w:lang w:val="el-GR"/>
              </w:rPr>
            </w:pPr>
            <w:r>
              <w:rPr>
                <w:sz w:val="19"/>
                <w:szCs w:val="19"/>
                <w:lang w:val="el-GR"/>
              </w:rPr>
              <w:lastRenderedPageBreak/>
              <w:t>Βία (</w:t>
            </w:r>
            <w:r>
              <w:rPr>
                <w:sz w:val="19"/>
                <w:szCs w:val="19"/>
              </w:rPr>
              <w:t>E</w:t>
            </w:r>
            <w:r>
              <w:rPr>
                <w:sz w:val="19"/>
                <w:szCs w:val="19"/>
                <w:lang w:val="el-GR"/>
              </w:rPr>
              <w:t>-</w:t>
            </w:r>
            <w:r>
              <w:rPr>
                <w:sz w:val="19"/>
                <w:szCs w:val="19"/>
              </w:rPr>
              <w:t>HITS</w:t>
            </w:r>
            <w:r>
              <w:rPr>
                <w:sz w:val="19"/>
                <w:szCs w:val="19"/>
                <w:lang w:val="el-GR"/>
              </w:rPr>
              <w:t xml:space="preserve">) με ΔΜΤΣ / κατάθλιψη / στρες / </w:t>
            </w:r>
            <w:proofErr w:type="spellStart"/>
            <w:r>
              <w:rPr>
                <w:sz w:val="19"/>
                <w:szCs w:val="19"/>
                <w:lang w:val="el-GR"/>
              </w:rPr>
              <w:t>αβοηθητότητα</w:t>
            </w:r>
            <w:proofErr w:type="spellEnd"/>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125DE531" w14:textId="77777777" w:rsidR="00E63D5B" w:rsidRDefault="001F059D">
            <w:pPr>
              <w:spacing w:after="40" w:line="240" w:lineRule="auto"/>
              <w:jc w:val="left"/>
            </w:pPr>
            <w:r>
              <w:rPr>
                <w:sz w:val="19"/>
                <w:szCs w:val="19"/>
              </w:rPr>
              <w:t>r = 0,32 / 0,26 / 0,25 / 0,28 (p &lt; 0,001)</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372E4412" w14:textId="77777777" w:rsidR="00E63D5B" w:rsidRDefault="001F059D">
            <w:pPr>
              <w:spacing w:after="40" w:line="240" w:lineRule="auto"/>
              <w:jc w:val="left"/>
            </w:pPr>
            <w:proofErr w:type="spellStart"/>
            <w:r>
              <w:rPr>
                <w:sz w:val="19"/>
                <w:szCs w:val="19"/>
              </w:rPr>
              <w:t>Μικρές</w:t>
            </w:r>
            <w:proofErr w:type="spellEnd"/>
            <w:r>
              <w:rPr>
                <w:sz w:val="19"/>
                <w:szCs w:val="19"/>
              </w:rPr>
              <w:t xml:space="preserve"> </w:t>
            </w:r>
            <w:proofErr w:type="spellStart"/>
            <w:r>
              <w:rPr>
                <w:sz w:val="19"/>
                <w:szCs w:val="19"/>
              </w:rPr>
              <w:t>έως</w:t>
            </w:r>
            <w:proofErr w:type="spellEnd"/>
            <w:r>
              <w:rPr>
                <w:sz w:val="19"/>
                <w:szCs w:val="19"/>
              </w:rPr>
              <w:t xml:space="preserve"> </w:t>
            </w:r>
            <w:proofErr w:type="spellStart"/>
            <w:r>
              <w:rPr>
                <w:sz w:val="19"/>
                <w:szCs w:val="19"/>
              </w:rPr>
              <w:t>μέτριες</w:t>
            </w:r>
            <w:proofErr w:type="spellEnd"/>
            <w:r>
              <w:rPr>
                <w:sz w:val="19"/>
                <w:szCs w:val="19"/>
              </w:rPr>
              <w:t xml:space="preserve"> </w:t>
            </w:r>
            <w:proofErr w:type="spellStart"/>
            <w:r>
              <w:rPr>
                <w:sz w:val="19"/>
                <w:szCs w:val="19"/>
              </w:rPr>
              <w:t>συσχετίσεις</w:t>
            </w:r>
            <w:proofErr w:type="spellEnd"/>
          </w:p>
        </w:tc>
      </w:tr>
      <w:tr w:rsidR="00E63D5B" w14:paraId="503B1501"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tcPr>
          <w:p w14:paraId="7436503F" w14:textId="77777777" w:rsidR="00E63D5B" w:rsidRDefault="001F059D">
            <w:pPr>
              <w:spacing w:after="40" w:line="240" w:lineRule="auto"/>
              <w:jc w:val="left"/>
            </w:pPr>
            <w:proofErr w:type="spellStart"/>
            <w:r>
              <w:rPr>
                <w:sz w:val="19"/>
                <w:szCs w:val="19"/>
              </w:rPr>
              <w:t>Βί</w:t>
            </w:r>
            <w:proofErr w:type="spellEnd"/>
            <w:r>
              <w:rPr>
                <w:sz w:val="19"/>
                <w:szCs w:val="19"/>
              </w:rPr>
              <w:t xml:space="preserve">α </w:t>
            </w:r>
            <w:proofErr w:type="spellStart"/>
            <w:r>
              <w:rPr>
                <w:sz w:val="19"/>
                <w:szCs w:val="19"/>
              </w:rPr>
              <w:t>με</w:t>
            </w:r>
            <w:proofErr w:type="spellEnd"/>
            <w:r>
              <w:rPr>
                <w:sz w:val="19"/>
                <w:szCs w:val="19"/>
              </w:rPr>
              <w:t xml:space="preserve"> </w:t>
            </w:r>
            <w:proofErr w:type="spellStart"/>
            <w:r>
              <w:rPr>
                <w:sz w:val="19"/>
                <w:szCs w:val="19"/>
              </w:rPr>
              <w:t>έλλειψη</w:t>
            </w:r>
            <w:proofErr w:type="spellEnd"/>
            <w:r>
              <w:rPr>
                <w:sz w:val="19"/>
                <w:szCs w:val="19"/>
              </w:rPr>
              <w:t xml:space="preserve"> α</w:t>
            </w:r>
            <w:proofErr w:type="spellStart"/>
            <w:r>
              <w:rPr>
                <w:sz w:val="19"/>
                <w:szCs w:val="19"/>
              </w:rPr>
              <w:t>υτο</w:t>
            </w:r>
            <w:proofErr w:type="spellEnd"/>
            <w:r>
              <w:rPr>
                <w:sz w:val="19"/>
                <w:szCs w:val="19"/>
              </w:rPr>
              <w:t>αποτελεσματικότητας</w:t>
            </w:r>
          </w:p>
        </w:tc>
        <w:tc>
          <w:tcPr>
            <w:tcW w:w="3024" w:type="dxa"/>
            <w:tcBorders>
              <w:top w:val="single" w:sz="4" w:space="0" w:color="BFBFBF"/>
              <w:left w:val="single" w:sz="4" w:space="0" w:color="BFBFBF"/>
              <w:bottom w:val="single" w:sz="4" w:space="0" w:color="BFBFBF"/>
              <w:right w:val="single" w:sz="4" w:space="0" w:color="BFBFBF"/>
            </w:tcBorders>
          </w:tcPr>
          <w:p w14:paraId="62B17613" w14:textId="77777777" w:rsidR="00E63D5B" w:rsidRDefault="001F059D">
            <w:pPr>
              <w:spacing w:after="40" w:line="240" w:lineRule="auto"/>
              <w:jc w:val="left"/>
            </w:pPr>
            <w:r>
              <w:rPr>
                <w:sz w:val="19"/>
                <w:szCs w:val="19"/>
              </w:rPr>
              <w:t>r = 0,13, p = 0,073</w:t>
            </w:r>
          </w:p>
        </w:tc>
        <w:tc>
          <w:tcPr>
            <w:tcW w:w="3024" w:type="dxa"/>
            <w:tcBorders>
              <w:top w:val="single" w:sz="4" w:space="0" w:color="BFBFBF"/>
              <w:left w:val="single" w:sz="4" w:space="0" w:color="BFBFBF"/>
              <w:bottom w:val="single" w:sz="4" w:space="0" w:color="BFBFBF"/>
              <w:right w:val="single" w:sz="4" w:space="0" w:color="BFBFBF"/>
            </w:tcBorders>
          </w:tcPr>
          <w:p w14:paraId="4D0B940A" w14:textId="77777777" w:rsidR="00E63D5B" w:rsidRDefault="001F059D">
            <w:pPr>
              <w:spacing w:after="40" w:line="240" w:lineRule="auto"/>
              <w:jc w:val="left"/>
            </w:pPr>
            <w:proofErr w:type="spellStart"/>
            <w:r>
              <w:rPr>
                <w:sz w:val="19"/>
                <w:szCs w:val="19"/>
              </w:rPr>
              <w:t>Μη</w:t>
            </w:r>
            <w:proofErr w:type="spellEnd"/>
            <w:r>
              <w:rPr>
                <w:sz w:val="19"/>
                <w:szCs w:val="19"/>
              </w:rPr>
              <w:t xml:space="preserve"> </w:t>
            </w:r>
            <w:proofErr w:type="spellStart"/>
            <w:r>
              <w:rPr>
                <w:sz w:val="19"/>
                <w:szCs w:val="19"/>
              </w:rPr>
              <w:t>σημ</w:t>
            </w:r>
            <w:proofErr w:type="spellEnd"/>
            <w:r>
              <w:rPr>
                <w:sz w:val="19"/>
                <w:szCs w:val="19"/>
              </w:rPr>
              <w:t xml:space="preserve">αντική </w:t>
            </w:r>
            <w:proofErr w:type="spellStart"/>
            <w:r>
              <w:rPr>
                <w:sz w:val="19"/>
                <w:szCs w:val="19"/>
              </w:rPr>
              <w:t>συσχέτιση</w:t>
            </w:r>
            <w:proofErr w:type="spellEnd"/>
          </w:p>
        </w:tc>
      </w:tr>
      <w:tr w:rsidR="00E63D5B" w14:paraId="4013FCC9"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05A1AB3F" w14:textId="77777777" w:rsidR="00E63D5B" w:rsidRPr="00132066" w:rsidRDefault="001F059D">
            <w:pPr>
              <w:spacing w:after="40" w:line="240" w:lineRule="auto"/>
              <w:jc w:val="left"/>
              <w:rPr>
                <w:lang w:val="el-GR"/>
              </w:rPr>
            </w:pPr>
            <w:r>
              <w:rPr>
                <w:sz w:val="19"/>
                <w:szCs w:val="19"/>
                <w:lang w:val="el-GR"/>
              </w:rPr>
              <w:t>Βία με συνολική ποιότητα ζωής / σωματική / ψυχολογική / περιβάλλον</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2633483C" w14:textId="77777777" w:rsidR="00E63D5B" w:rsidRDefault="001F059D">
            <w:pPr>
              <w:spacing w:after="40" w:line="240" w:lineRule="auto"/>
              <w:jc w:val="left"/>
            </w:pPr>
            <w:r>
              <w:rPr>
                <w:sz w:val="19"/>
                <w:szCs w:val="19"/>
              </w:rPr>
              <w:t>r = −0,25 / −0,16 / −0,17 / −0,18 (p &lt; 0,05)</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1866F00E" w14:textId="77777777" w:rsidR="00E63D5B" w:rsidRDefault="001F059D">
            <w:pPr>
              <w:spacing w:after="40" w:line="240" w:lineRule="auto"/>
              <w:jc w:val="left"/>
            </w:pPr>
            <w:proofErr w:type="spellStart"/>
            <w:r>
              <w:rPr>
                <w:sz w:val="19"/>
                <w:szCs w:val="19"/>
              </w:rPr>
              <w:t>Μικρές</w:t>
            </w:r>
            <w:proofErr w:type="spellEnd"/>
            <w:r>
              <w:rPr>
                <w:sz w:val="19"/>
                <w:szCs w:val="19"/>
              </w:rPr>
              <w:t xml:space="preserve"> α</w:t>
            </w:r>
            <w:proofErr w:type="spellStart"/>
            <w:r>
              <w:rPr>
                <w:sz w:val="19"/>
                <w:szCs w:val="19"/>
              </w:rPr>
              <w:t>ρνητικές</w:t>
            </w:r>
            <w:proofErr w:type="spellEnd"/>
            <w:r>
              <w:rPr>
                <w:sz w:val="19"/>
                <w:szCs w:val="19"/>
              </w:rPr>
              <w:t xml:space="preserve"> </w:t>
            </w:r>
            <w:proofErr w:type="spellStart"/>
            <w:r>
              <w:rPr>
                <w:sz w:val="19"/>
                <w:szCs w:val="19"/>
              </w:rPr>
              <w:t>συσχετίσεις</w:t>
            </w:r>
            <w:proofErr w:type="spellEnd"/>
          </w:p>
        </w:tc>
      </w:tr>
      <w:tr w:rsidR="00E63D5B" w14:paraId="6925F671"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tcPr>
          <w:p w14:paraId="59D59198" w14:textId="77777777" w:rsidR="00E63D5B" w:rsidRPr="00132066" w:rsidRDefault="001F059D">
            <w:pPr>
              <w:spacing w:after="40" w:line="240" w:lineRule="auto"/>
              <w:jc w:val="left"/>
              <w:rPr>
                <w:lang w:val="el-GR"/>
              </w:rPr>
            </w:pPr>
            <w:r>
              <w:rPr>
                <w:sz w:val="19"/>
                <w:szCs w:val="19"/>
                <w:lang w:val="el-GR"/>
              </w:rPr>
              <w:t>ΔΜΤΣ (</w:t>
            </w:r>
            <w:r>
              <w:rPr>
                <w:sz w:val="19"/>
                <w:szCs w:val="19"/>
              </w:rPr>
              <w:t>PCL</w:t>
            </w:r>
            <w:r>
              <w:rPr>
                <w:sz w:val="19"/>
                <w:szCs w:val="19"/>
                <w:lang w:val="el-GR"/>
              </w:rPr>
              <w:t>-5) με κατάθλιψη / στρες / ψυχολογική ΠΖ / σωματική ΠΖ</w:t>
            </w:r>
          </w:p>
        </w:tc>
        <w:tc>
          <w:tcPr>
            <w:tcW w:w="3024" w:type="dxa"/>
            <w:tcBorders>
              <w:top w:val="single" w:sz="4" w:space="0" w:color="BFBFBF"/>
              <w:left w:val="single" w:sz="4" w:space="0" w:color="BFBFBF"/>
              <w:bottom w:val="single" w:sz="4" w:space="0" w:color="BFBFBF"/>
              <w:right w:val="single" w:sz="4" w:space="0" w:color="BFBFBF"/>
            </w:tcBorders>
          </w:tcPr>
          <w:p w14:paraId="713F679B" w14:textId="77777777" w:rsidR="00E63D5B" w:rsidRDefault="001F059D">
            <w:pPr>
              <w:spacing w:after="40" w:line="240" w:lineRule="auto"/>
              <w:jc w:val="left"/>
            </w:pPr>
            <w:r>
              <w:rPr>
                <w:sz w:val="19"/>
                <w:szCs w:val="19"/>
              </w:rPr>
              <w:t>r = 0,75 / 0,57 / −0,60 / −0,50 (p &lt; 0,001)</w:t>
            </w:r>
          </w:p>
        </w:tc>
        <w:tc>
          <w:tcPr>
            <w:tcW w:w="3024" w:type="dxa"/>
            <w:tcBorders>
              <w:top w:val="single" w:sz="4" w:space="0" w:color="BFBFBF"/>
              <w:left w:val="single" w:sz="4" w:space="0" w:color="BFBFBF"/>
              <w:bottom w:val="single" w:sz="4" w:space="0" w:color="BFBFBF"/>
              <w:right w:val="single" w:sz="4" w:space="0" w:color="BFBFBF"/>
            </w:tcBorders>
          </w:tcPr>
          <w:p w14:paraId="28769B06" w14:textId="77777777" w:rsidR="00E63D5B" w:rsidRDefault="001F059D">
            <w:pPr>
              <w:spacing w:after="40" w:line="240" w:lineRule="auto"/>
              <w:jc w:val="left"/>
            </w:pPr>
            <w:proofErr w:type="spellStart"/>
            <w:r>
              <w:rPr>
                <w:sz w:val="19"/>
                <w:szCs w:val="19"/>
              </w:rPr>
              <w:t>Ισχυρές</w:t>
            </w:r>
            <w:proofErr w:type="spellEnd"/>
            <w:r>
              <w:rPr>
                <w:sz w:val="19"/>
                <w:szCs w:val="19"/>
              </w:rPr>
              <w:t xml:space="preserve"> </w:t>
            </w:r>
            <w:proofErr w:type="spellStart"/>
            <w:r>
              <w:rPr>
                <w:sz w:val="19"/>
                <w:szCs w:val="19"/>
              </w:rPr>
              <w:t>συσχετίσεις</w:t>
            </w:r>
            <w:proofErr w:type="spellEnd"/>
          </w:p>
        </w:tc>
      </w:tr>
      <w:tr w:rsidR="00E63D5B" w14:paraId="258083A0"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706C2EE8" w14:textId="77777777" w:rsidR="00E63D5B" w:rsidRPr="00132066" w:rsidRDefault="001F059D">
            <w:pPr>
              <w:spacing w:after="40" w:line="240" w:lineRule="auto"/>
              <w:jc w:val="left"/>
              <w:rPr>
                <w:lang w:val="el-GR"/>
              </w:rPr>
            </w:pPr>
            <w:r>
              <w:rPr>
                <w:sz w:val="19"/>
                <w:szCs w:val="19"/>
                <w:lang w:val="el-GR"/>
              </w:rPr>
              <w:t>Πρώιμο τραύμα (</w:t>
            </w:r>
            <w:r>
              <w:rPr>
                <w:sz w:val="19"/>
                <w:szCs w:val="19"/>
              </w:rPr>
              <w:t>ETI</w:t>
            </w:r>
            <w:r>
              <w:rPr>
                <w:sz w:val="19"/>
                <w:szCs w:val="19"/>
                <w:lang w:val="el-GR"/>
              </w:rPr>
              <w:t>) ανά ΔΜΤΣ: σωματική / συναισθηματική / συνολική</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01505CAB" w14:textId="77777777" w:rsidR="00E63D5B" w:rsidRDefault="001F059D">
            <w:pPr>
              <w:spacing w:after="40" w:line="240" w:lineRule="auto"/>
              <w:jc w:val="left"/>
            </w:pPr>
            <w:r>
              <w:rPr>
                <w:sz w:val="19"/>
                <w:szCs w:val="19"/>
              </w:rPr>
              <w:t>d = 0,43 / 0,38 / 0,44 (p &lt; 0,05)</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02FFAC45" w14:textId="77777777" w:rsidR="00E63D5B" w:rsidRDefault="001F059D">
            <w:pPr>
              <w:spacing w:after="40" w:line="240" w:lineRule="auto"/>
              <w:jc w:val="left"/>
            </w:pPr>
            <w:proofErr w:type="spellStart"/>
            <w:r>
              <w:rPr>
                <w:sz w:val="19"/>
                <w:szCs w:val="19"/>
              </w:rPr>
              <w:t>Μικρές</w:t>
            </w:r>
            <w:proofErr w:type="spellEnd"/>
            <w:r>
              <w:rPr>
                <w:sz w:val="19"/>
                <w:szCs w:val="19"/>
              </w:rPr>
              <w:t xml:space="preserve"> </w:t>
            </w:r>
            <w:proofErr w:type="spellStart"/>
            <w:r>
              <w:rPr>
                <w:sz w:val="19"/>
                <w:szCs w:val="19"/>
              </w:rPr>
              <w:t>έως</w:t>
            </w:r>
            <w:proofErr w:type="spellEnd"/>
            <w:r>
              <w:rPr>
                <w:sz w:val="19"/>
                <w:szCs w:val="19"/>
              </w:rPr>
              <w:t xml:space="preserve"> </w:t>
            </w:r>
            <w:proofErr w:type="spellStart"/>
            <w:r>
              <w:rPr>
                <w:sz w:val="19"/>
                <w:szCs w:val="19"/>
              </w:rPr>
              <w:t>μέτριες</w:t>
            </w:r>
            <w:proofErr w:type="spellEnd"/>
            <w:r>
              <w:rPr>
                <w:sz w:val="19"/>
                <w:szCs w:val="19"/>
              </w:rPr>
              <w:t xml:space="preserve"> </w:t>
            </w:r>
            <w:proofErr w:type="spellStart"/>
            <w:r>
              <w:rPr>
                <w:sz w:val="19"/>
                <w:szCs w:val="19"/>
              </w:rPr>
              <w:t>δι</w:t>
            </w:r>
            <w:proofErr w:type="spellEnd"/>
            <w:r>
              <w:rPr>
                <w:sz w:val="19"/>
                <w:szCs w:val="19"/>
              </w:rPr>
              <w:t>αφορές</w:t>
            </w:r>
          </w:p>
        </w:tc>
      </w:tr>
      <w:tr w:rsidR="00E63D5B" w14:paraId="0C95CE6B"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tcPr>
          <w:p w14:paraId="4E4644B6" w14:textId="77777777" w:rsidR="00E63D5B" w:rsidRPr="00132066" w:rsidRDefault="001F059D">
            <w:pPr>
              <w:spacing w:after="40" w:line="240" w:lineRule="auto"/>
              <w:jc w:val="left"/>
              <w:rPr>
                <w:lang w:val="el-GR"/>
              </w:rPr>
            </w:pPr>
            <w:r>
              <w:rPr>
                <w:sz w:val="19"/>
                <w:szCs w:val="19"/>
                <w:lang w:val="el-GR"/>
              </w:rPr>
              <w:t>Γονικές πρακτικές (</w:t>
            </w:r>
            <w:r>
              <w:rPr>
                <w:sz w:val="19"/>
                <w:szCs w:val="19"/>
              </w:rPr>
              <w:t>PBQ</w:t>
            </w:r>
            <w:r>
              <w:rPr>
                <w:sz w:val="19"/>
                <w:szCs w:val="19"/>
                <w:lang w:val="el-GR"/>
              </w:rPr>
              <w:t>) ανά ΔΜΤΣ: υπερπροστασία / αγχώδης ανατροφή</w:t>
            </w:r>
          </w:p>
        </w:tc>
        <w:tc>
          <w:tcPr>
            <w:tcW w:w="3024" w:type="dxa"/>
            <w:tcBorders>
              <w:top w:val="single" w:sz="4" w:space="0" w:color="BFBFBF"/>
              <w:left w:val="single" w:sz="4" w:space="0" w:color="BFBFBF"/>
              <w:bottom w:val="single" w:sz="4" w:space="0" w:color="BFBFBF"/>
              <w:right w:val="single" w:sz="4" w:space="0" w:color="BFBFBF"/>
            </w:tcBorders>
          </w:tcPr>
          <w:p w14:paraId="78C6D26B" w14:textId="77777777" w:rsidR="00E63D5B" w:rsidRDefault="001F059D">
            <w:pPr>
              <w:spacing w:after="40" w:line="240" w:lineRule="auto"/>
              <w:jc w:val="left"/>
            </w:pPr>
            <w:r>
              <w:rPr>
                <w:sz w:val="19"/>
                <w:szCs w:val="19"/>
              </w:rPr>
              <w:t>d = 0,51 / 0,49 (p &lt; 0,05)</w:t>
            </w:r>
          </w:p>
        </w:tc>
        <w:tc>
          <w:tcPr>
            <w:tcW w:w="3024" w:type="dxa"/>
            <w:tcBorders>
              <w:top w:val="single" w:sz="4" w:space="0" w:color="BFBFBF"/>
              <w:left w:val="single" w:sz="4" w:space="0" w:color="BFBFBF"/>
              <w:bottom w:val="single" w:sz="4" w:space="0" w:color="BFBFBF"/>
              <w:right w:val="single" w:sz="4" w:space="0" w:color="BFBFBF"/>
            </w:tcBorders>
          </w:tcPr>
          <w:p w14:paraId="7E83425C" w14:textId="77777777" w:rsidR="00E63D5B" w:rsidRDefault="001F059D">
            <w:pPr>
              <w:spacing w:after="40" w:line="240" w:lineRule="auto"/>
              <w:jc w:val="left"/>
            </w:pPr>
            <w:proofErr w:type="spellStart"/>
            <w:r>
              <w:rPr>
                <w:sz w:val="19"/>
                <w:szCs w:val="19"/>
              </w:rPr>
              <w:t>Μέτριες</w:t>
            </w:r>
            <w:proofErr w:type="spellEnd"/>
            <w:r>
              <w:rPr>
                <w:sz w:val="19"/>
                <w:szCs w:val="19"/>
              </w:rPr>
              <w:t xml:space="preserve"> </w:t>
            </w:r>
            <w:proofErr w:type="spellStart"/>
            <w:r>
              <w:rPr>
                <w:sz w:val="19"/>
                <w:szCs w:val="19"/>
              </w:rPr>
              <w:t>δι</w:t>
            </w:r>
            <w:proofErr w:type="spellEnd"/>
            <w:r>
              <w:rPr>
                <w:sz w:val="19"/>
                <w:szCs w:val="19"/>
              </w:rPr>
              <w:t>αφορές</w:t>
            </w:r>
          </w:p>
        </w:tc>
      </w:tr>
      <w:tr w:rsidR="00E63D5B" w14:paraId="2A13D9AA"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6A1C903F" w14:textId="77777777" w:rsidR="00E63D5B" w:rsidRPr="00132066" w:rsidRDefault="001F059D">
            <w:pPr>
              <w:spacing w:after="40" w:line="240" w:lineRule="auto"/>
              <w:jc w:val="left"/>
              <w:rPr>
                <w:lang w:val="el-GR"/>
              </w:rPr>
            </w:pPr>
            <w:r>
              <w:rPr>
                <w:sz w:val="19"/>
                <w:szCs w:val="19"/>
                <w:lang w:val="el-GR"/>
              </w:rPr>
              <w:t>Βία μητέρας – έκθεση παιδιού (</w:t>
            </w:r>
            <w:r>
              <w:rPr>
                <w:sz w:val="19"/>
                <w:szCs w:val="19"/>
              </w:rPr>
              <w:t>HITS</w:t>
            </w:r>
            <w:r>
              <w:rPr>
                <w:sz w:val="19"/>
                <w:szCs w:val="19"/>
                <w:lang w:val="el-GR"/>
              </w:rPr>
              <w:t>/</w:t>
            </w:r>
            <w:r>
              <w:rPr>
                <w:sz w:val="19"/>
                <w:szCs w:val="19"/>
              </w:rPr>
              <w:t>HITS</w:t>
            </w:r>
            <w:r>
              <w:rPr>
                <w:sz w:val="19"/>
                <w:szCs w:val="19"/>
                <w:lang w:val="el-GR"/>
              </w:rPr>
              <w:t>-</w:t>
            </w:r>
            <w:r>
              <w:rPr>
                <w:sz w:val="19"/>
                <w:szCs w:val="19"/>
              </w:rPr>
              <w:t>C</w:t>
            </w:r>
            <w:r>
              <w:rPr>
                <w:sz w:val="19"/>
                <w:szCs w:val="19"/>
                <w:lang w:val="el-GR"/>
              </w:rPr>
              <w:t>)</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64D6B5A0" w14:textId="77777777" w:rsidR="00E63D5B" w:rsidRPr="00132066" w:rsidRDefault="001F059D">
            <w:pPr>
              <w:spacing w:after="40" w:line="240" w:lineRule="auto"/>
              <w:jc w:val="left"/>
              <w:rPr>
                <w:lang w:val="el-GR"/>
              </w:rPr>
            </w:pPr>
            <w:r>
              <w:rPr>
                <w:sz w:val="19"/>
                <w:szCs w:val="19"/>
              </w:rPr>
              <w:t>Spearman</w:t>
            </w:r>
            <w:r>
              <w:rPr>
                <w:sz w:val="19"/>
                <w:szCs w:val="19"/>
                <w:lang w:val="el-GR"/>
              </w:rPr>
              <w:t xml:space="preserve"> ρ = 0,46, </w:t>
            </w:r>
            <w:r>
              <w:rPr>
                <w:sz w:val="19"/>
                <w:szCs w:val="19"/>
              </w:rPr>
              <w:t>p</w:t>
            </w:r>
            <w:r>
              <w:rPr>
                <w:sz w:val="19"/>
                <w:szCs w:val="19"/>
                <w:lang w:val="el-GR"/>
              </w:rPr>
              <w:t xml:space="preserve"> &lt; 0,001, </w:t>
            </w:r>
            <w:r>
              <w:rPr>
                <w:sz w:val="19"/>
                <w:szCs w:val="19"/>
              </w:rPr>
              <w:t>N</w:t>
            </w:r>
            <w:r>
              <w:rPr>
                <w:sz w:val="19"/>
                <w:szCs w:val="19"/>
                <w:lang w:val="el-GR"/>
              </w:rPr>
              <w:t xml:space="preserve"> = 117· φ = 0,27 (σωματική), 0,24 (λεκτική), 0,28 (σεξουαλική), </w:t>
            </w:r>
            <w:r>
              <w:rPr>
                <w:sz w:val="19"/>
                <w:szCs w:val="19"/>
              </w:rPr>
              <w:t>p</w:t>
            </w:r>
            <w:r>
              <w:rPr>
                <w:sz w:val="19"/>
                <w:szCs w:val="19"/>
                <w:lang w:val="el-GR"/>
              </w:rPr>
              <w:t xml:space="preserve"> &lt; 0,01</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1C0294D1" w14:textId="77777777" w:rsidR="00E63D5B" w:rsidRDefault="001F059D">
            <w:pPr>
              <w:spacing w:after="40" w:line="240" w:lineRule="auto"/>
              <w:jc w:val="left"/>
            </w:pPr>
            <w:proofErr w:type="spellStart"/>
            <w:r>
              <w:rPr>
                <w:sz w:val="19"/>
                <w:szCs w:val="19"/>
              </w:rPr>
              <w:t>Μέτρι</w:t>
            </w:r>
            <w:proofErr w:type="spellEnd"/>
            <w:r>
              <w:rPr>
                <w:sz w:val="19"/>
                <w:szCs w:val="19"/>
              </w:rPr>
              <w:t xml:space="preserve">α </w:t>
            </w:r>
            <w:proofErr w:type="spellStart"/>
            <w:r>
              <w:rPr>
                <w:sz w:val="19"/>
                <w:szCs w:val="19"/>
              </w:rPr>
              <w:t>συσχέτιση</w:t>
            </w:r>
            <w:proofErr w:type="spellEnd"/>
          </w:p>
        </w:tc>
      </w:tr>
      <w:tr w:rsidR="00E63D5B" w14:paraId="173ABBDD"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tcPr>
          <w:p w14:paraId="56920A06" w14:textId="77777777" w:rsidR="00E63D5B" w:rsidRPr="00132066" w:rsidRDefault="001F059D">
            <w:pPr>
              <w:spacing w:after="40" w:line="240" w:lineRule="auto"/>
              <w:jc w:val="left"/>
              <w:rPr>
                <w:lang w:val="el-GR"/>
              </w:rPr>
            </w:pPr>
            <w:r>
              <w:rPr>
                <w:sz w:val="19"/>
                <w:szCs w:val="19"/>
              </w:rPr>
              <w:t>SDQ</w:t>
            </w:r>
            <w:r>
              <w:rPr>
                <w:sz w:val="19"/>
                <w:szCs w:val="19"/>
                <w:lang w:val="el-GR"/>
              </w:rPr>
              <w:t xml:space="preserve"> παιδιών ανά ΔΜΤΣ μητέρας: συναισθηματικά / διαγωγή / συνολικά</w:t>
            </w:r>
          </w:p>
        </w:tc>
        <w:tc>
          <w:tcPr>
            <w:tcW w:w="3024" w:type="dxa"/>
            <w:tcBorders>
              <w:top w:val="single" w:sz="4" w:space="0" w:color="BFBFBF"/>
              <w:left w:val="single" w:sz="4" w:space="0" w:color="BFBFBF"/>
              <w:bottom w:val="single" w:sz="4" w:space="0" w:color="BFBFBF"/>
              <w:right w:val="single" w:sz="4" w:space="0" w:color="BFBFBF"/>
            </w:tcBorders>
          </w:tcPr>
          <w:p w14:paraId="3B977C05" w14:textId="77777777" w:rsidR="00E63D5B" w:rsidRDefault="001F059D">
            <w:pPr>
              <w:spacing w:after="40" w:line="240" w:lineRule="auto"/>
              <w:jc w:val="left"/>
            </w:pPr>
            <w:r>
              <w:rPr>
                <w:sz w:val="19"/>
                <w:szCs w:val="19"/>
              </w:rPr>
              <w:t>d = 0,50 / 0,49 / 0,52 (p &lt; 0,05)</w:t>
            </w:r>
          </w:p>
        </w:tc>
        <w:tc>
          <w:tcPr>
            <w:tcW w:w="3024" w:type="dxa"/>
            <w:tcBorders>
              <w:top w:val="single" w:sz="4" w:space="0" w:color="BFBFBF"/>
              <w:left w:val="single" w:sz="4" w:space="0" w:color="BFBFBF"/>
              <w:bottom w:val="single" w:sz="4" w:space="0" w:color="BFBFBF"/>
              <w:right w:val="single" w:sz="4" w:space="0" w:color="BFBFBF"/>
            </w:tcBorders>
          </w:tcPr>
          <w:p w14:paraId="3D7D9E9D" w14:textId="77777777" w:rsidR="00E63D5B" w:rsidRDefault="001F059D">
            <w:pPr>
              <w:spacing w:after="40" w:line="240" w:lineRule="auto"/>
              <w:jc w:val="left"/>
            </w:pPr>
            <w:proofErr w:type="spellStart"/>
            <w:r>
              <w:rPr>
                <w:sz w:val="19"/>
                <w:szCs w:val="19"/>
              </w:rPr>
              <w:t>Μέτριες</w:t>
            </w:r>
            <w:proofErr w:type="spellEnd"/>
            <w:r>
              <w:rPr>
                <w:sz w:val="19"/>
                <w:szCs w:val="19"/>
              </w:rPr>
              <w:t xml:space="preserve"> </w:t>
            </w:r>
            <w:proofErr w:type="spellStart"/>
            <w:r>
              <w:rPr>
                <w:sz w:val="19"/>
                <w:szCs w:val="19"/>
              </w:rPr>
              <w:t>δι</w:t>
            </w:r>
            <w:proofErr w:type="spellEnd"/>
            <w:r>
              <w:rPr>
                <w:sz w:val="19"/>
                <w:szCs w:val="19"/>
              </w:rPr>
              <w:t>αφορές</w:t>
            </w:r>
          </w:p>
        </w:tc>
      </w:tr>
      <w:tr w:rsidR="00E63D5B" w14:paraId="3AF92055"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4345C40F" w14:textId="77777777" w:rsidR="00E63D5B" w:rsidRPr="00132066" w:rsidRDefault="001F059D">
            <w:pPr>
              <w:spacing w:after="40" w:line="240" w:lineRule="auto"/>
              <w:jc w:val="left"/>
              <w:rPr>
                <w:lang w:val="el-GR"/>
              </w:rPr>
            </w:pPr>
            <w:r>
              <w:rPr>
                <w:sz w:val="19"/>
                <w:szCs w:val="19"/>
              </w:rPr>
              <w:t>SDQ</w:t>
            </w:r>
            <w:r>
              <w:rPr>
                <w:sz w:val="19"/>
                <w:szCs w:val="19"/>
                <w:lang w:val="el-GR"/>
              </w:rPr>
              <w:t xml:space="preserve"> παιδιών με στρες / ποιότητα ζωής μητέρας</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667F44D2" w14:textId="77777777" w:rsidR="00E63D5B" w:rsidRDefault="001F059D">
            <w:pPr>
              <w:spacing w:after="40" w:line="240" w:lineRule="auto"/>
              <w:jc w:val="left"/>
            </w:pPr>
            <w:r>
              <w:rPr>
                <w:sz w:val="19"/>
                <w:szCs w:val="19"/>
              </w:rPr>
              <w:t>r = 0,35 / −0,34 (p &lt; 0,001)</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3B80102B" w14:textId="77777777" w:rsidR="00E63D5B" w:rsidRDefault="001F059D">
            <w:pPr>
              <w:spacing w:after="40" w:line="240" w:lineRule="auto"/>
              <w:jc w:val="left"/>
            </w:pPr>
            <w:proofErr w:type="spellStart"/>
            <w:r>
              <w:rPr>
                <w:sz w:val="19"/>
                <w:szCs w:val="19"/>
              </w:rPr>
              <w:t>Μέτριες</w:t>
            </w:r>
            <w:proofErr w:type="spellEnd"/>
            <w:r>
              <w:rPr>
                <w:sz w:val="19"/>
                <w:szCs w:val="19"/>
              </w:rPr>
              <w:t xml:space="preserve"> </w:t>
            </w:r>
            <w:proofErr w:type="spellStart"/>
            <w:r>
              <w:rPr>
                <w:sz w:val="19"/>
                <w:szCs w:val="19"/>
              </w:rPr>
              <w:t>συσχετίσεις</w:t>
            </w:r>
            <w:proofErr w:type="spellEnd"/>
          </w:p>
        </w:tc>
      </w:tr>
      <w:tr w:rsidR="00E63D5B" w14:paraId="6856FA05"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tcPr>
          <w:p w14:paraId="025A2723" w14:textId="77777777" w:rsidR="00E63D5B" w:rsidRPr="00132066" w:rsidRDefault="001F059D">
            <w:pPr>
              <w:spacing w:after="40" w:line="240" w:lineRule="auto"/>
              <w:jc w:val="left"/>
              <w:rPr>
                <w:lang w:val="el-GR"/>
              </w:rPr>
            </w:pPr>
            <w:r>
              <w:rPr>
                <w:sz w:val="19"/>
                <w:szCs w:val="19"/>
              </w:rPr>
              <w:t>CRIES</w:t>
            </w:r>
            <w:r>
              <w:rPr>
                <w:sz w:val="19"/>
                <w:szCs w:val="19"/>
                <w:lang w:val="el-GR"/>
              </w:rPr>
              <w:t xml:space="preserve">-8 εφήβων με </w:t>
            </w:r>
            <w:r>
              <w:rPr>
                <w:sz w:val="19"/>
                <w:szCs w:val="19"/>
              </w:rPr>
              <w:t>PCL</w:t>
            </w:r>
            <w:r>
              <w:rPr>
                <w:sz w:val="19"/>
                <w:szCs w:val="19"/>
                <w:lang w:val="el-GR"/>
              </w:rPr>
              <w:t>-5 μητέρας</w:t>
            </w:r>
          </w:p>
        </w:tc>
        <w:tc>
          <w:tcPr>
            <w:tcW w:w="3024" w:type="dxa"/>
            <w:tcBorders>
              <w:top w:val="single" w:sz="4" w:space="0" w:color="BFBFBF"/>
              <w:left w:val="single" w:sz="4" w:space="0" w:color="BFBFBF"/>
              <w:bottom w:val="single" w:sz="4" w:space="0" w:color="BFBFBF"/>
              <w:right w:val="single" w:sz="4" w:space="0" w:color="BFBFBF"/>
            </w:tcBorders>
          </w:tcPr>
          <w:p w14:paraId="579C1D6A" w14:textId="77777777" w:rsidR="00E63D5B" w:rsidRDefault="001F059D">
            <w:pPr>
              <w:spacing w:after="40" w:line="240" w:lineRule="auto"/>
              <w:jc w:val="left"/>
            </w:pPr>
            <w:r>
              <w:rPr>
                <w:sz w:val="19"/>
                <w:szCs w:val="19"/>
              </w:rPr>
              <w:t>r = 0,25, p = 0,25, n = 24</w:t>
            </w:r>
          </w:p>
        </w:tc>
        <w:tc>
          <w:tcPr>
            <w:tcW w:w="3024" w:type="dxa"/>
            <w:tcBorders>
              <w:top w:val="single" w:sz="4" w:space="0" w:color="BFBFBF"/>
              <w:left w:val="single" w:sz="4" w:space="0" w:color="BFBFBF"/>
              <w:bottom w:val="single" w:sz="4" w:space="0" w:color="BFBFBF"/>
              <w:right w:val="single" w:sz="4" w:space="0" w:color="BFBFBF"/>
            </w:tcBorders>
          </w:tcPr>
          <w:p w14:paraId="1B215217" w14:textId="77777777" w:rsidR="00E63D5B" w:rsidRDefault="001F059D">
            <w:pPr>
              <w:spacing w:after="40" w:line="240" w:lineRule="auto"/>
              <w:jc w:val="left"/>
            </w:pPr>
            <w:proofErr w:type="spellStart"/>
            <w:r>
              <w:rPr>
                <w:sz w:val="19"/>
                <w:szCs w:val="19"/>
              </w:rPr>
              <w:t>Μη</w:t>
            </w:r>
            <w:proofErr w:type="spellEnd"/>
            <w:r>
              <w:rPr>
                <w:sz w:val="19"/>
                <w:szCs w:val="19"/>
              </w:rPr>
              <w:t xml:space="preserve"> </w:t>
            </w:r>
            <w:proofErr w:type="spellStart"/>
            <w:r>
              <w:rPr>
                <w:sz w:val="19"/>
                <w:szCs w:val="19"/>
              </w:rPr>
              <w:t>σημ</w:t>
            </w:r>
            <w:proofErr w:type="spellEnd"/>
            <w:r>
              <w:rPr>
                <w:sz w:val="19"/>
                <w:szCs w:val="19"/>
              </w:rPr>
              <w:t xml:space="preserve">αντική </w:t>
            </w:r>
            <w:proofErr w:type="spellStart"/>
            <w:r>
              <w:rPr>
                <w:sz w:val="19"/>
                <w:szCs w:val="19"/>
              </w:rPr>
              <w:t>συσχέτιση</w:t>
            </w:r>
            <w:proofErr w:type="spellEnd"/>
          </w:p>
        </w:tc>
      </w:tr>
      <w:tr w:rsidR="00E63D5B" w:rsidRPr="00D84B1E" w14:paraId="2C6218A6"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6BC27E76" w14:textId="77777777" w:rsidR="00E63D5B" w:rsidRDefault="001F059D">
            <w:pPr>
              <w:spacing w:after="40" w:line="240" w:lineRule="auto"/>
              <w:jc w:val="left"/>
            </w:pPr>
            <w:proofErr w:type="spellStart"/>
            <w:r>
              <w:rPr>
                <w:sz w:val="19"/>
                <w:szCs w:val="19"/>
              </w:rPr>
              <w:t>Δι</w:t>
            </w:r>
            <w:proofErr w:type="spellEnd"/>
            <w:r>
              <w:rPr>
                <w:sz w:val="19"/>
                <w:szCs w:val="19"/>
              </w:rPr>
              <w:t xml:space="preserve">αμεσολάβηση βία → </w:t>
            </w:r>
            <w:proofErr w:type="spellStart"/>
            <w:r>
              <w:rPr>
                <w:sz w:val="19"/>
                <w:szCs w:val="19"/>
              </w:rPr>
              <w:t>στρες</w:t>
            </w:r>
            <w:proofErr w:type="spellEnd"/>
            <w:r>
              <w:rPr>
                <w:sz w:val="19"/>
                <w:szCs w:val="19"/>
              </w:rPr>
              <w:t xml:space="preserve"> → PTG</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1F7A5D3F" w14:textId="77777777" w:rsidR="00E63D5B" w:rsidRPr="00132066" w:rsidRDefault="001F059D">
            <w:pPr>
              <w:spacing w:after="40" w:line="240" w:lineRule="auto"/>
              <w:jc w:val="left"/>
              <w:rPr>
                <w:lang w:val="el-GR"/>
              </w:rPr>
            </w:pPr>
            <w:r>
              <w:rPr>
                <w:sz w:val="19"/>
                <w:szCs w:val="19"/>
                <w:lang w:val="el-GR"/>
              </w:rPr>
              <w:t xml:space="preserve">έμμεση = −0,46, 95% ΔΕ [−0,77, −0,18]· άμεση β = 0,52, </w:t>
            </w:r>
            <w:r>
              <w:rPr>
                <w:sz w:val="19"/>
                <w:szCs w:val="19"/>
              </w:rPr>
              <w:t>p</w:t>
            </w:r>
            <w:r>
              <w:rPr>
                <w:sz w:val="19"/>
                <w:szCs w:val="19"/>
                <w:lang w:val="el-GR"/>
              </w:rPr>
              <w:t xml:space="preserve"> = 0,04· συνολική </w:t>
            </w:r>
            <w:r>
              <w:rPr>
                <w:sz w:val="19"/>
                <w:szCs w:val="19"/>
              </w:rPr>
              <w:t>p</w:t>
            </w:r>
            <w:r>
              <w:rPr>
                <w:sz w:val="19"/>
                <w:szCs w:val="19"/>
                <w:lang w:val="el-GR"/>
              </w:rPr>
              <w:t xml:space="preserve"> = 0,84</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3457EE6A" w14:textId="77777777" w:rsidR="00E63D5B" w:rsidRPr="00132066" w:rsidRDefault="001F059D">
            <w:pPr>
              <w:spacing w:after="40" w:line="240" w:lineRule="auto"/>
              <w:jc w:val="left"/>
              <w:rPr>
                <w:lang w:val="el-GR"/>
              </w:rPr>
            </w:pPr>
            <w:r>
              <w:rPr>
                <w:sz w:val="19"/>
                <w:szCs w:val="19"/>
                <w:lang w:val="el-GR"/>
              </w:rPr>
              <w:t>Στατιστικώς σημαντική ανταγωνιστική διαμεσολάβηση (</w:t>
            </w:r>
            <w:r>
              <w:rPr>
                <w:sz w:val="19"/>
                <w:szCs w:val="19"/>
              </w:rPr>
              <w:t>Zhao</w:t>
            </w:r>
            <w:r>
              <w:rPr>
                <w:sz w:val="19"/>
                <w:szCs w:val="19"/>
                <w:lang w:val="el-GR"/>
              </w:rPr>
              <w:t xml:space="preserve"> </w:t>
            </w:r>
            <w:r>
              <w:rPr>
                <w:sz w:val="19"/>
                <w:szCs w:val="19"/>
              </w:rPr>
              <w:t>et</w:t>
            </w:r>
            <w:r>
              <w:rPr>
                <w:sz w:val="19"/>
                <w:szCs w:val="19"/>
                <w:lang w:val="el-GR"/>
              </w:rPr>
              <w:t xml:space="preserve"> </w:t>
            </w:r>
            <w:r>
              <w:rPr>
                <w:sz w:val="19"/>
                <w:szCs w:val="19"/>
              </w:rPr>
              <w:t>al</w:t>
            </w:r>
            <w:r>
              <w:rPr>
                <w:sz w:val="19"/>
                <w:szCs w:val="19"/>
                <w:lang w:val="el-GR"/>
              </w:rPr>
              <w:t>., 2010)</w:t>
            </w:r>
          </w:p>
        </w:tc>
      </w:tr>
      <w:tr w:rsidR="00E63D5B" w:rsidRPr="00D84B1E" w14:paraId="4CE0A8CB"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tcPr>
          <w:p w14:paraId="4A585E5D" w14:textId="77777777" w:rsidR="00E63D5B" w:rsidRDefault="001F059D">
            <w:pPr>
              <w:spacing w:after="40" w:line="240" w:lineRule="auto"/>
              <w:jc w:val="left"/>
            </w:pPr>
            <w:proofErr w:type="spellStart"/>
            <w:r>
              <w:rPr>
                <w:sz w:val="19"/>
                <w:szCs w:val="19"/>
              </w:rPr>
              <w:t>Δι</w:t>
            </w:r>
            <w:proofErr w:type="spellEnd"/>
            <w:r>
              <w:rPr>
                <w:sz w:val="19"/>
                <w:szCs w:val="19"/>
              </w:rPr>
              <w:t>αμεσολάβηση βία → κα</w:t>
            </w:r>
            <w:proofErr w:type="spellStart"/>
            <w:r>
              <w:rPr>
                <w:sz w:val="19"/>
                <w:szCs w:val="19"/>
              </w:rPr>
              <w:t>τάθλιψη</w:t>
            </w:r>
            <w:proofErr w:type="spellEnd"/>
            <w:r>
              <w:rPr>
                <w:sz w:val="19"/>
                <w:szCs w:val="19"/>
              </w:rPr>
              <w:t xml:space="preserve"> → PTG</w:t>
            </w:r>
          </w:p>
        </w:tc>
        <w:tc>
          <w:tcPr>
            <w:tcW w:w="3024" w:type="dxa"/>
            <w:tcBorders>
              <w:top w:val="single" w:sz="4" w:space="0" w:color="BFBFBF"/>
              <w:left w:val="single" w:sz="4" w:space="0" w:color="BFBFBF"/>
              <w:bottom w:val="single" w:sz="4" w:space="0" w:color="BFBFBF"/>
              <w:right w:val="single" w:sz="4" w:space="0" w:color="BFBFBF"/>
            </w:tcBorders>
          </w:tcPr>
          <w:p w14:paraId="3B28E942" w14:textId="77777777" w:rsidR="00E63D5B" w:rsidRPr="00132066" w:rsidRDefault="001F059D">
            <w:pPr>
              <w:spacing w:after="40" w:line="240" w:lineRule="auto"/>
              <w:jc w:val="left"/>
              <w:rPr>
                <w:lang w:val="el-GR"/>
              </w:rPr>
            </w:pPr>
            <w:r>
              <w:rPr>
                <w:sz w:val="19"/>
                <w:szCs w:val="19"/>
                <w:lang w:val="el-GR"/>
              </w:rPr>
              <w:t xml:space="preserve">έμμεση = −0,43, 95% ΔΕ [−0,70, −0,19]· άμεση β = 0,56, </w:t>
            </w:r>
            <w:r>
              <w:rPr>
                <w:sz w:val="19"/>
                <w:szCs w:val="19"/>
              </w:rPr>
              <w:t>p</w:t>
            </w:r>
            <w:r>
              <w:rPr>
                <w:sz w:val="19"/>
                <w:szCs w:val="19"/>
                <w:lang w:val="el-GR"/>
              </w:rPr>
              <w:t xml:space="preserve"> = 0,04</w:t>
            </w:r>
          </w:p>
        </w:tc>
        <w:tc>
          <w:tcPr>
            <w:tcW w:w="3024" w:type="dxa"/>
            <w:tcBorders>
              <w:top w:val="single" w:sz="4" w:space="0" w:color="BFBFBF"/>
              <w:left w:val="single" w:sz="4" w:space="0" w:color="BFBFBF"/>
              <w:bottom w:val="single" w:sz="4" w:space="0" w:color="BFBFBF"/>
              <w:right w:val="single" w:sz="4" w:space="0" w:color="BFBFBF"/>
            </w:tcBorders>
          </w:tcPr>
          <w:p w14:paraId="2B8949CB" w14:textId="77777777" w:rsidR="00E63D5B" w:rsidRPr="00132066" w:rsidRDefault="001F059D">
            <w:pPr>
              <w:spacing w:after="40" w:line="240" w:lineRule="auto"/>
              <w:jc w:val="left"/>
              <w:rPr>
                <w:lang w:val="el-GR"/>
              </w:rPr>
            </w:pPr>
            <w:r>
              <w:rPr>
                <w:sz w:val="19"/>
                <w:szCs w:val="19"/>
                <w:lang w:val="el-GR"/>
              </w:rPr>
              <w:t>Στατιστικώς σημαντική ανταγωνιστική διαμεσολάβηση: αρνητική έμμεση και θετική άμεση επίδραση</w:t>
            </w:r>
          </w:p>
        </w:tc>
      </w:tr>
      <w:tr w:rsidR="00E63D5B" w14:paraId="55C0A1D1"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61B8487D" w14:textId="77777777" w:rsidR="00E63D5B" w:rsidRDefault="001F059D">
            <w:pPr>
              <w:spacing w:after="40" w:line="240" w:lineRule="auto"/>
              <w:jc w:val="left"/>
            </w:pPr>
            <w:proofErr w:type="spellStart"/>
            <w:r>
              <w:rPr>
                <w:sz w:val="19"/>
                <w:szCs w:val="19"/>
              </w:rPr>
              <w:t>Δι</w:t>
            </w:r>
            <w:proofErr w:type="spellEnd"/>
            <w:r>
              <w:rPr>
                <w:sz w:val="19"/>
                <w:szCs w:val="19"/>
              </w:rPr>
              <w:t xml:space="preserve">αμεσολάβηση βία → </w:t>
            </w:r>
            <w:proofErr w:type="spellStart"/>
            <w:r>
              <w:rPr>
                <w:sz w:val="19"/>
                <w:szCs w:val="19"/>
              </w:rPr>
              <w:t>στρες</w:t>
            </w:r>
            <w:proofErr w:type="spellEnd"/>
            <w:r>
              <w:rPr>
                <w:sz w:val="19"/>
                <w:szCs w:val="19"/>
              </w:rPr>
              <w:t xml:space="preserve"> → κα</w:t>
            </w:r>
            <w:proofErr w:type="spellStart"/>
            <w:r>
              <w:rPr>
                <w:sz w:val="19"/>
                <w:szCs w:val="19"/>
              </w:rPr>
              <w:t>τάθλιψη</w:t>
            </w:r>
            <w:proofErr w:type="spellEnd"/>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75C1CDF5" w14:textId="77777777" w:rsidR="00E63D5B" w:rsidRPr="00132066" w:rsidRDefault="001F059D">
            <w:pPr>
              <w:spacing w:after="40" w:line="240" w:lineRule="auto"/>
              <w:jc w:val="left"/>
              <w:rPr>
                <w:lang w:val="el-GR"/>
              </w:rPr>
            </w:pPr>
            <w:r>
              <w:rPr>
                <w:sz w:val="19"/>
                <w:szCs w:val="19"/>
                <w:lang w:val="el-GR"/>
              </w:rPr>
              <w:t xml:space="preserve">έμμεση = 0,19, 95% ΔΕ [0,08, 0,30]· άμεση β = 0,14, </w:t>
            </w:r>
            <w:r>
              <w:rPr>
                <w:sz w:val="19"/>
                <w:szCs w:val="19"/>
              </w:rPr>
              <w:t>p</w:t>
            </w:r>
            <w:r w:rsidRPr="000B7AA5">
              <w:rPr>
                <w:sz w:val="19"/>
                <w:szCs w:val="19"/>
                <w:lang w:val="el-GR"/>
              </w:rPr>
              <w:t xml:space="preserve"> = 0,058</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27071516" w14:textId="77777777" w:rsidR="00E63D5B" w:rsidRDefault="001F059D">
            <w:pPr>
              <w:spacing w:after="40" w:line="240" w:lineRule="auto"/>
              <w:jc w:val="left"/>
            </w:pPr>
            <w:proofErr w:type="spellStart"/>
            <w:r>
              <w:rPr>
                <w:sz w:val="19"/>
                <w:szCs w:val="19"/>
              </w:rPr>
              <w:t>Πλήρης</w:t>
            </w:r>
            <w:proofErr w:type="spellEnd"/>
            <w:r>
              <w:rPr>
                <w:sz w:val="19"/>
                <w:szCs w:val="19"/>
              </w:rPr>
              <w:t xml:space="preserve"> </w:t>
            </w:r>
            <w:proofErr w:type="spellStart"/>
            <w:r>
              <w:rPr>
                <w:sz w:val="19"/>
                <w:szCs w:val="19"/>
              </w:rPr>
              <w:t>δι</w:t>
            </w:r>
            <w:proofErr w:type="spellEnd"/>
            <w:r>
              <w:rPr>
                <w:sz w:val="19"/>
                <w:szCs w:val="19"/>
              </w:rPr>
              <w:t>αμεσολάβηση</w:t>
            </w:r>
          </w:p>
        </w:tc>
      </w:tr>
      <w:tr w:rsidR="00E63D5B" w14:paraId="2576BD4F"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tcPr>
          <w:p w14:paraId="5A0CAAF0" w14:textId="77777777" w:rsidR="00E63D5B" w:rsidRDefault="001F059D">
            <w:pPr>
              <w:spacing w:after="40" w:line="240" w:lineRule="auto"/>
              <w:jc w:val="left"/>
            </w:pPr>
            <w:r>
              <w:rPr>
                <w:sz w:val="19"/>
                <w:szCs w:val="19"/>
              </w:rPr>
              <w:t xml:space="preserve">PTG και </w:t>
            </w:r>
            <w:proofErr w:type="spellStart"/>
            <w:r>
              <w:rPr>
                <w:sz w:val="19"/>
                <w:szCs w:val="19"/>
              </w:rPr>
              <w:t>εκ</w:t>
            </w:r>
            <w:proofErr w:type="spellEnd"/>
            <w:r>
              <w:rPr>
                <w:sz w:val="19"/>
                <w:szCs w:val="19"/>
              </w:rPr>
              <w:t xml:space="preserve">παίδευση / </w:t>
            </w:r>
            <w:proofErr w:type="spellStart"/>
            <w:r>
              <w:rPr>
                <w:sz w:val="19"/>
                <w:szCs w:val="19"/>
              </w:rPr>
              <w:t>εργ</w:t>
            </w:r>
            <w:proofErr w:type="spellEnd"/>
            <w:r>
              <w:rPr>
                <w:sz w:val="19"/>
                <w:szCs w:val="19"/>
              </w:rPr>
              <w:t>ασία</w:t>
            </w:r>
          </w:p>
        </w:tc>
        <w:tc>
          <w:tcPr>
            <w:tcW w:w="3024" w:type="dxa"/>
            <w:tcBorders>
              <w:top w:val="single" w:sz="4" w:space="0" w:color="BFBFBF"/>
              <w:left w:val="single" w:sz="4" w:space="0" w:color="BFBFBF"/>
              <w:bottom w:val="single" w:sz="4" w:space="0" w:color="BFBFBF"/>
              <w:right w:val="single" w:sz="4" w:space="0" w:color="BFBFBF"/>
            </w:tcBorders>
          </w:tcPr>
          <w:p w14:paraId="33069520" w14:textId="77777777" w:rsidR="00E63D5B" w:rsidRDefault="001F059D">
            <w:pPr>
              <w:spacing w:after="40" w:line="240" w:lineRule="auto"/>
              <w:jc w:val="left"/>
            </w:pPr>
            <w:r>
              <w:rPr>
                <w:sz w:val="19"/>
                <w:szCs w:val="19"/>
              </w:rPr>
              <w:t>F = 4,91, p = 0,008, η² = 0,05 / F = 3,51, p = 0,03, η² = 0,04</w:t>
            </w:r>
          </w:p>
        </w:tc>
        <w:tc>
          <w:tcPr>
            <w:tcW w:w="3024" w:type="dxa"/>
            <w:tcBorders>
              <w:top w:val="single" w:sz="4" w:space="0" w:color="BFBFBF"/>
              <w:left w:val="single" w:sz="4" w:space="0" w:color="BFBFBF"/>
              <w:bottom w:val="single" w:sz="4" w:space="0" w:color="BFBFBF"/>
              <w:right w:val="single" w:sz="4" w:space="0" w:color="BFBFBF"/>
            </w:tcBorders>
          </w:tcPr>
          <w:p w14:paraId="1E93C199" w14:textId="77777777" w:rsidR="00E63D5B" w:rsidRDefault="001F059D">
            <w:pPr>
              <w:spacing w:after="40" w:line="240" w:lineRule="auto"/>
              <w:jc w:val="left"/>
            </w:pPr>
            <w:proofErr w:type="spellStart"/>
            <w:r>
              <w:rPr>
                <w:sz w:val="19"/>
                <w:szCs w:val="19"/>
              </w:rPr>
              <w:t>Μικρές</w:t>
            </w:r>
            <w:proofErr w:type="spellEnd"/>
            <w:r>
              <w:rPr>
                <w:sz w:val="19"/>
                <w:szCs w:val="19"/>
              </w:rPr>
              <w:t xml:space="preserve"> επ</w:t>
            </w:r>
            <w:proofErr w:type="spellStart"/>
            <w:r>
              <w:rPr>
                <w:sz w:val="19"/>
                <w:szCs w:val="19"/>
              </w:rPr>
              <w:t>ιδράσεις</w:t>
            </w:r>
            <w:proofErr w:type="spellEnd"/>
            <w:r>
              <w:rPr>
                <w:sz w:val="19"/>
                <w:szCs w:val="19"/>
              </w:rPr>
              <w:t xml:space="preserve"> (</w:t>
            </w:r>
            <w:proofErr w:type="spellStart"/>
            <w:r>
              <w:rPr>
                <w:sz w:val="19"/>
                <w:szCs w:val="19"/>
              </w:rPr>
              <w:t>μεγέθη</w:t>
            </w:r>
            <w:proofErr w:type="spellEnd"/>
            <w:r>
              <w:rPr>
                <w:sz w:val="19"/>
                <w:szCs w:val="19"/>
              </w:rPr>
              <w:t xml:space="preserve"> η²)</w:t>
            </w:r>
          </w:p>
        </w:tc>
      </w:tr>
      <w:tr w:rsidR="00E63D5B" w14:paraId="6BD51840"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5749586A" w14:textId="77777777" w:rsidR="000956C9" w:rsidRDefault="00F56A84">
            <w:pPr>
              <w:spacing w:after="40" w:line="240" w:lineRule="auto"/>
              <w:jc w:val="left"/>
              <w:rPr>
                <w:lang w:val="el-GR"/>
              </w:rPr>
            </w:pPr>
            <w:r>
              <w:rPr>
                <w:sz w:val="19"/>
                <w:szCs w:val="19"/>
                <w:lang w:val="el-GR"/>
              </w:rPr>
              <w:t>Ελληνίδες έναντι μη Ελληνίδων: κατάθλιψη / σωματική ΠΖ</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33D1B6BF" w14:textId="77777777" w:rsidR="00E63D5B" w:rsidRDefault="001F059D">
            <w:pPr>
              <w:spacing w:after="40" w:line="240" w:lineRule="auto"/>
              <w:jc w:val="left"/>
            </w:pPr>
            <w:r>
              <w:rPr>
                <w:sz w:val="19"/>
                <w:szCs w:val="19"/>
              </w:rPr>
              <w:t>t = 2,08, d = 0,37 / t = −2,25, d = 0,40 (p &lt; 0,05)</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0F5C87DE" w14:textId="77777777" w:rsidR="00E63D5B" w:rsidRDefault="001F059D">
            <w:pPr>
              <w:spacing w:after="40" w:line="240" w:lineRule="auto"/>
              <w:jc w:val="left"/>
            </w:pPr>
            <w:proofErr w:type="spellStart"/>
            <w:r>
              <w:rPr>
                <w:sz w:val="19"/>
                <w:szCs w:val="19"/>
              </w:rPr>
              <w:t>Μικρές</w:t>
            </w:r>
            <w:proofErr w:type="spellEnd"/>
            <w:r>
              <w:rPr>
                <w:sz w:val="19"/>
                <w:szCs w:val="19"/>
              </w:rPr>
              <w:t xml:space="preserve"> π</w:t>
            </w:r>
            <w:proofErr w:type="spellStart"/>
            <w:r>
              <w:rPr>
                <w:sz w:val="19"/>
                <w:szCs w:val="19"/>
              </w:rPr>
              <w:t>ρος</w:t>
            </w:r>
            <w:proofErr w:type="spellEnd"/>
            <w:r>
              <w:rPr>
                <w:sz w:val="19"/>
                <w:szCs w:val="19"/>
              </w:rPr>
              <w:t xml:space="preserve"> </w:t>
            </w:r>
            <w:proofErr w:type="spellStart"/>
            <w:r>
              <w:rPr>
                <w:sz w:val="19"/>
                <w:szCs w:val="19"/>
              </w:rPr>
              <w:t>μέτριες</w:t>
            </w:r>
            <w:proofErr w:type="spellEnd"/>
            <w:r>
              <w:rPr>
                <w:sz w:val="19"/>
                <w:szCs w:val="19"/>
              </w:rPr>
              <w:t xml:space="preserve"> </w:t>
            </w:r>
            <w:proofErr w:type="spellStart"/>
            <w:r>
              <w:rPr>
                <w:sz w:val="19"/>
                <w:szCs w:val="19"/>
              </w:rPr>
              <w:t>δι</w:t>
            </w:r>
            <w:proofErr w:type="spellEnd"/>
            <w:r>
              <w:rPr>
                <w:sz w:val="19"/>
                <w:szCs w:val="19"/>
              </w:rPr>
              <w:t>αφορές</w:t>
            </w:r>
          </w:p>
        </w:tc>
      </w:tr>
    </w:tbl>
    <w:p w14:paraId="69104FD3" w14:textId="77777777" w:rsidR="00E63D5B" w:rsidRDefault="001F059D">
      <w:pPr>
        <w:pStyle w:val="1"/>
        <w:pageBreakBefore/>
      </w:pPr>
      <w:bookmarkStart w:id="47" w:name="_Toc242134452"/>
      <w:r>
        <w:lastRenderedPageBreak/>
        <w:t>7. Απ</w:t>
      </w:r>
      <w:proofErr w:type="spellStart"/>
      <w:r>
        <w:t>οτελέσμ</w:t>
      </w:r>
      <w:proofErr w:type="spellEnd"/>
      <w:r>
        <w:t xml:space="preserve">ατα </w:t>
      </w:r>
      <w:proofErr w:type="spellStart"/>
      <w:r>
        <w:t>της</w:t>
      </w:r>
      <w:proofErr w:type="spellEnd"/>
      <w:r>
        <w:t xml:space="preserve"> </w:t>
      </w:r>
      <w:proofErr w:type="spellStart"/>
      <w:r>
        <w:t>Ποιοτικής</w:t>
      </w:r>
      <w:proofErr w:type="spellEnd"/>
      <w:r>
        <w:t xml:space="preserve"> </w:t>
      </w:r>
      <w:proofErr w:type="spellStart"/>
      <w:r>
        <w:t>Έρευν</w:t>
      </w:r>
      <w:proofErr w:type="spellEnd"/>
      <w:r>
        <w:t>ας</w:t>
      </w:r>
      <w:bookmarkEnd w:id="47"/>
    </w:p>
    <w:p w14:paraId="31D3462B" w14:textId="77777777" w:rsidR="00E63D5B" w:rsidRPr="00132066" w:rsidRDefault="001F059D">
      <w:pPr>
        <w:rPr>
          <w:lang w:val="el-GR"/>
        </w:rPr>
      </w:pPr>
      <w:r>
        <w:rPr>
          <w:lang w:val="el-GR"/>
        </w:rPr>
        <w:t xml:space="preserve">Το Κεφάλαιο αυτό παρουσιάζει τα ευρήματα του ποιοτικού σκέλους. Όλα τα ευρήματα προέρχονται από τις 16 συνεντεύξεις της παρούσας έρευνας. Τα αποσπάσματα παρατίθενται με τον κωδικό της συμμετέχουσας (Σ1–Σ16) και έχουν </w:t>
      </w:r>
      <w:proofErr w:type="spellStart"/>
      <w:r>
        <w:rPr>
          <w:lang w:val="el-GR"/>
        </w:rPr>
        <w:t>ανωνυμοποιηθεί</w:t>
      </w:r>
      <w:proofErr w:type="spellEnd"/>
      <w:r>
        <w:rPr>
          <w:lang w:val="el-GR"/>
        </w:rPr>
        <w:t>.</w:t>
      </w:r>
    </w:p>
    <w:p w14:paraId="1137A469" w14:textId="77777777" w:rsidR="00E63D5B" w:rsidRPr="00132066" w:rsidRDefault="001F059D">
      <w:pPr>
        <w:pStyle w:val="20"/>
        <w:rPr>
          <w:lang w:val="el-GR"/>
        </w:rPr>
      </w:pPr>
      <w:bookmarkStart w:id="48" w:name="_Toc242134453"/>
      <w:r>
        <w:rPr>
          <w:lang w:val="el-GR"/>
        </w:rPr>
        <w:t>7.1 Οργάνωση των ευρημάτων</w:t>
      </w:r>
      <w:bookmarkEnd w:id="48"/>
    </w:p>
    <w:p w14:paraId="1EAAF9E2" w14:textId="77777777" w:rsidR="00E63D5B" w:rsidRPr="00132066" w:rsidRDefault="001F059D">
      <w:pPr>
        <w:rPr>
          <w:lang w:val="el-GR"/>
        </w:rPr>
      </w:pPr>
      <w:r>
        <w:rPr>
          <w:lang w:val="el-GR"/>
        </w:rPr>
        <w:t xml:space="preserve">Η </w:t>
      </w:r>
      <w:proofErr w:type="spellStart"/>
      <w:r>
        <w:rPr>
          <w:lang w:val="el-GR"/>
        </w:rPr>
        <w:t>αναστοχαστική</w:t>
      </w:r>
      <w:proofErr w:type="spellEnd"/>
      <w:r>
        <w:rPr>
          <w:lang w:val="el-GR"/>
        </w:rPr>
        <w:t xml:space="preserve"> θεματική ανάλυση (</w:t>
      </w:r>
      <w:r>
        <w:t>Braun</w:t>
      </w:r>
      <w:r>
        <w:rPr>
          <w:lang w:val="el-GR"/>
        </w:rPr>
        <w:t xml:space="preserve"> &amp; </w:t>
      </w:r>
      <w:r>
        <w:t>Clarke</w:t>
      </w:r>
      <w:r>
        <w:rPr>
          <w:lang w:val="el-GR"/>
        </w:rPr>
        <w:t xml:space="preserve">, 2006, 2022) ανέδειξε </w:t>
      </w:r>
      <w:r>
        <w:rPr>
          <w:b/>
          <w:lang w:val="el-GR"/>
        </w:rPr>
        <w:t>εννέα αλληλένδετα θέματα</w:t>
      </w:r>
      <w:r>
        <w:rPr>
          <w:lang w:val="el-GR"/>
        </w:rPr>
        <w:t xml:space="preserve">. Δεν αποτελούν αμοιβαία </w:t>
      </w:r>
      <w:proofErr w:type="spellStart"/>
      <w:r>
        <w:rPr>
          <w:lang w:val="el-GR"/>
        </w:rPr>
        <w:t>αποκλειόμενες</w:t>
      </w:r>
      <w:proofErr w:type="spellEnd"/>
      <w:r>
        <w:rPr>
          <w:lang w:val="el-GR"/>
        </w:rPr>
        <w:t xml:space="preserve"> κατηγορίες αλλά διαφορετικές όψεις μιας δυναμικής εμπειρίας που εκτείνεται από την εγκαθίδρυση του ελέγχου έως την ανάκτηση της ζωής και τη συλλογική αλλαγή. Η βία αποτυπώνεται όχι ως σειρά μεμονωμένων περιστατικών, αλλά ως </w:t>
      </w:r>
      <w:proofErr w:type="spellStart"/>
      <w:r>
        <w:rPr>
          <w:lang w:val="el-GR"/>
        </w:rPr>
        <w:t>έμφυλο</w:t>
      </w:r>
      <w:proofErr w:type="spellEnd"/>
      <w:r>
        <w:rPr>
          <w:lang w:val="el-GR"/>
        </w:rPr>
        <w:t>, σχεσιακό και κοινωνικό καθεστώς που επηρεάζει το σώμα, την αίσθηση του εαυτού, τις οικογενειακές σχέσεις και τις επόμενες γενιές.</w:t>
      </w:r>
    </w:p>
    <w:p w14:paraId="20410D40" w14:textId="77777777" w:rsidR="00E63D5B" w:rsidRPr="00132066" w:rsidRDefault="001F059D">
      <w:pPr>
        <w:rPr>
          <w:lang w:val="el-GR"/>
        </w:rPr>
      </w:pPr>
      <w:r>
        <w:rPr>
          <w:lang w:val="el-GR"/>
        </w:rPr>
        <w:t xml:space="preserve">Η </w:t>
      </w:r>
      <w:proofErr w:type="spellStart"/>
      <w:r>
        <w:rPr>
          <w:lang w:val="el-GR"/>
        </w:rPr>
        <w:t>διαγενεακή</w:t>
      </w:r>
      <w:proofErr w:type="spellEnd"/>
      <w:r>
        <w:rPr>
          <w:lang w:val="el-GR"/>
        </w:rPr>
        <w:t xml:space="preserve"> μετάδοση της βίας και του τραύματος δεν συγκροτήθηκε ως ξεχωριστό θέμα, επειδή διατρέχει σχεδόν όλα τα θέματα. Αντιμετωπίστηκε ως κεντρικός εγκάρσιος άξονας, με τρεις όψεις: τη συνέχεια (την οικειότητα με συγκεκριμένα σχεσιακά και </w:t>
      </w:r>
      <w:proofErr w:type="spellStart"/>
      <w:r>
        <w:rPr>
          <w:lang w:val="el-GR"/>
        </w:rPr>
        <w:t>έμφυλα</w:t>
      </w:r>
      <w:proofErr w:type="spellEnd"/>
      <w:r>
        <w:rPr>
          <w:lang w:val="el-GR"/>
        </w:rPr>
        <w:t xml:space="preserve"> πρότυπα), τον μετασχηματισμό (τον τρόπο που οι προηγούμενες εμπειρίες επανεμφανίζονται με διαφορετικές μορφές ή ρόλους) και τη διακοπή (τη δημιουργία νέων συνθηκών ασφάλειας, αναγνώρισης και αυτενέργειας). Η λέξη «μετάδοση» δεν σημαίνει γραμμική ή αναπόφευκτη αναπαραγωγή: αυτό που μπορεί να αποκτά συνέχεια δεν είναι ένα αμετάβλητο τραύμα, αλλά τρόποι σύνδεσης, αντιλήψεις για την αγάπη και την εξουσία, </w:t>
      </w:r>
      <w:proofErr w:type="spellStart"/>
      <w:r>
        <w:rPr>
          <w:lang w:val="el-GR"/>
        </w:rPr>
        <w:t>έμφυλα</w:t>
      </w:r>
      <w:proofErr w:type="spellEnd"/>
      <w:r>
        <w:rPr>
          <w:lang w:val="el-GR"/>
        </w:rPr>
        <w:t xml:space="preserve"> «πρέπει», οικογενειακές σιωπές και στρατηγικές προσαρμογής στην απειλή.</w:t>
      </w:r>
    </w:p>
    <w:p w14:paraId="7AA601ED" w14:textId="77777777" w:rsidR="00E63D5B" w:rsidRPr="00132066" w:rsidRDefault="001F059D">
      <w:pPr>
        <w:rPr>
          <w:lang w:val="el-GR"/>
        </w:rPr>
      </w:pPr>
      <w:r>
        <w:rPr>
          <w:lang w:val="el-GR"/>
        </w:rPr>
        <w:t>Για την ερμηνεία χρησιμοποιήθηκαν τέσσερις αλληλένδετοι ερμηνευτικοί φακοί: (α) η διαθεματικότητα και η κοινωνική τοποθέτηση (</w:t>
      </w:r>
      <w:r>
        <w:t>Crenshaw</w:t>
      </w:r>
      <w:r>
        <w:rPr>
          <w:lang w:val="el-GR"/>
        </w:rPr>
        <w:t>, 1991), δηλαδή ο τρόπος με τον οποίο το φύλο διασταυρώνεται με τη μετανάστευση, την τάξη, την ηλικία και τη μητρότητα. (β) η πατριαρχία, η εξουσία και οι έμφυλες σχέσεις κυριαρχίας (</w:t>
      </w:r>
      <w:proofErr w:type="spellStart"/>
      <w:r>
        <w:t>Dobash</w:t>
      </w:r>
      <w:proofErr w:type="spellEnd"/>
      <w:r w:rsidRPr="000B7AA5">
        <w:rPr>
          <w:lang w:val="el-GR"/>
        </w:rPr>
        <w:t xml:space="preserve"> &amp; </w:t>
      </w:r>
      <w:proofErr w:type="spellStart"/>
      <w:r>
        <w:t>Dobash</w:t>
      </w:r>
      <w:proofErr w:type="spellEnd"/>
      <w:r w:rsidRPr="000B7AA5">
        <w:rPr>
          <w:lang w:val="el-GR"/>
        </w:rPr>
        <w:t xml:space="preserve">, 1979· </w:t>
      </w:r>
      <w:r>
        <w:t>Stark</w:t>
      </w:r>
      <w:r w:rsidRPr="000B7AA5">
        <w:rPr>
          <w:lang w:val="el-GR"/>
        </w:rPr>
        <w:t>, 2007). (</w:t>
      </w:r>
      <w:r>
        <w:rPr>
          <w:lang w:val="el-GR"/>
        </w:rPr>
        <w:t>γ) η δυναμική ασφάλειας–απειλής και οι τραυματικές στρατηγικές επιβίωσης (</w:t>
      </w:r>
      <w:r>
        <w:t>Herman</w:t>
      </w:r>
      <w:r>
        <w:rPr>
          <w:lang w:val="el-GR"/>
        </w:rPr>
        <w:t xml:space="preserve">, 1992· </w:t>
      </w:r>
      <w:r>
        <w:t>Van</w:t>
      </w:r>
      <w:r>
        <w:rPr>
          <w:lang w:val="el-GR"/>
        </w:rPr>
        <w:t xml:space="preserve"> </w:t>
      </w:r>
      <w:r>
        <w:t>der</w:t>
      </w:r>
      <w:r>
        <w:rPr>
          <w:lang w:val="el-GR"/>
        </w:rPr>
        <w:t xml:space="preserve"> </w:t>
      </w:r>
      <w:r>
        <w:t>Kolk</w:t>
      </w:r>
      <w:r>
        <w:rPr>
          <w:lang w:val="el-GR"/>
        </w:rPr>
        <w:t xml:space="preserve">, 2014), με την </w:t>
      </w:r>
      <w:proofErr w:type="spellStart"/>
      <w:r>
        <w:rPr>
          <w:lang w:val="el-GR"/>
        </w:rPr>
        <w:t>υπερεπαγρύπνηση</w:t>
      </w:r>
      <w:proofErr w:type="spellEnd"/>
      <w:r>
        <w:rPr>
          <w:lang w:val="el-GR"/>
        </w:rPr>
        <w:t>, τη συμμόρφωση και την απόκρυψη να νοούνται ως κατανοητές προσαρμογές και όχι ως ενδείξεις παθητικότητας. (δ) το σχεσιακό τραύμα (</w:t>
      </w:r>
      <w:r>
        <w:t>Freyd</w:t>
      </w:r>
      <w:r>
        <w:rPr>
          <w:lang w:val="el-GR"/>
        </w:rPr>
        <w:t>, 1997), δηλαδή η ρήξη, η απομόνωση και η επανασύνδεση, καθώς η βία διαπράττεται μέσα σε μια σχέση από την οποία αναμενόταν εγγύτητα και φροντίδα.</w:t>
      </w:r>
    </w:p>
    <w:p w14:paraId="4DA4CB58" w14:textId="77777777" w:rsidR="00E63D5B" w:rsidRDefault="001F059D">
      <w:pPr>
        <w:keepNext/>
        <w:jc w:val="center"/>
      </w:pPr>
      <w:r>
        <w:rPr>
          <w:noProof/>
          <w:lang w:val="el-GR"/>
        </w:rPr>
        <w:lastRenderedPageBreak/>
        <w:drawing>
          <wp:inline distT="0" distB="0" distL="0" distR="0" wp14:anchorId="2A76C7A9" wp14:editId="29D6619B">
            <wp:extent cx="5580000" cy="4247306"/>
            <wp:effectExtent l="0" t="0" r="0" b="0"/>
            <wp:docPr id="2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8"/>
                    <a:srcRect/>
                    <a:stretch>
                      <a:fillRect/>
                    </a:stretch>
                  </pic:blipFill>
                  <pic:spPr>
                    <a:xfrm>
                      <a:off x="0" y="0"/>
                      <a:ext cx="5580000" cy="4247306"/>
                    </a:xfrm>
                    <a:prstGeom prst="rect">
                      <a:avLst/>
                    </a:prstGeom>
                    <a:ln/>
                  </pic:spPr>
                </pic:pic>
              </a:graphicData>
            </a:graphic>
          </wp:inline>
        </w:drawing>
      </w:r>
    </w:p>
    <w:p w14:paraId="4619DEB0" w14:textId="77777777" w:rsidR="00E63D5B" w:rsidRPr="00132066" w:rsidRDefault="001F059D">
      <w:pPr>
        <w:spacing w:after="240"/>
        <w:jc w:val="center"/>
        <w:rPr>
          <w:lang w:val="el-GR"/>
        </w:rPr>
      </w:pPr>
      <w:r>
        <w:rPr>
          <w:b/>
          <w:bCs/>
          <w:color w:val="555555"/>
          <w:sz w:val="19"/>
          <w:szCs w:val="19"/>
          <w:lang w:val="el-GR"/>
        </w:rPr>
        <w:t xml:space="preserve">Γράφημα 10. </w:t>
      </w:r>
      <w:r>
        <w:rPr>
          <w:i/>
          <w:iCs/>
          <w:color w:val="555555"/>
          <w:sz w:val="19"/>
          <w:szCs w:val="19"/>
          <w:lang w:val="el-GR"/>
        </w:rPr>
        <w:t>Τα εννέα θέματα της ποιοτικής ανάλυσης γύρω από τον κεντρικό εγκάρσιο άξονα.</w:t>
      </w:r>
    </w:p>
    <w:p w14:paraId="6980D91B" w14:textId="77777777" w:rsidR="00E63D5B" w:rsidRPr="00132066" w:rsidRDefault="001F059D">
      <w:pPr>
        <w:pStyle w:val="20"/>
        <w:rPr>
          <w:lang w:val="el-GR"/>
        </w:rPr>
      </w:pPr>
      <w:bookmarkStart w:id="49" w:name="_Toc242134454"/>
      <w:r>
        <w:rPr>
          <w:lang w:val="el-GR"/>
        </w:rPr>
        <w:t>7.2 Θέμα 1: Η βία ως καθεστώς εξουσίας και ελέγχου</w:t>
      </w:r>
      <w:bookmarkEnd w:id="49"/>
    </w:p>
    <w:p w14:paraId="0F15D27A" w14:textId="77777777" w:rsidR="00E63D5B" w:rsidRPr="00132066" w:rsidRDefault="001F059D">
      <w:pPr>
        <w:rPr>
          <w:lang w:val="el-GR"/>
        </w:rPr>
      </w:pPr>
      <w:r>
        <w:rPr>
          <w:lang w:val="el-GR"/>
        </w:rPr>
        <w:t>Οι γυναίκες περιγράφουν τη σωματική, ψυχολογική, λεκτική, σεξουαλική, οικονομική και τεχνολογικά υποβοηθούμενη βία όχι ως ξεχωριστά γεγονότα αλλά ως ενιαίο σύστημα κυριαρχίας, στο οποίο ο δράστης διεκδικεί σταδιακά το δικαίωμα να ορίζει την πραγματικότητα. Η σωματική βία σπάνια εμφανίζεται μόνη της. Εντάσσεται σε ένα πλέγμα απειλής, απαξίωσης και καταστροφής της αυτοπεποίθησης, με κλιμάκωση από ένα πρώτο «ελαφρύ» χαστούκι σε σοβαρές επιθέσεις, ενώ η συμφιλιωτική κίνηση που ακολουθεί ανήκει ήδη στον κύκλο της βίας (</w:t>
      </w:r>
      <w:r>
        <w:t>Walker</w:t>
      </w:r>
      <w:r>
        <w:rPr>
          <w:lang w:val="el-GR"/>
        </w:rPr>
        <w:t>, 1979). Η σωματική βλάβη γίνεται και η ίδια μέσο περαιτέρω ελέγχου: μια αναπηρία που προκάλεσε ο δράστης χρησιμοποιείται αργότερα για να κατηγορηθούν οι γυναίκες ότι δεν ανταποκρίνονται στις οικιακές τους υποχρεώσεις.</w:t>
      </w:r>
    </w:p>
    <w:p w14:paraId="53385ADA" w14:textId="77777777" w:rsidR="00E63D5B" w:rsidRPr="00132066" w:rsidRDefault="001F059D">
      <w:pPr>
        <w:rPr>
          <w:lang w:val="el-GR"/>
        </w:rPr>
      </w:pPr>
      <w:r>
        <w:rPr>
          <w:lang w:val="el-GR"/>
        </w:rPr>
        <w:t>Η ψυχολογική κακοποίηση λειτουργεί ως έλεγχος της ίδιας της πραγματικότητας. Η απαξίωση δεν στρέφεται μόνο κατά των γυναικών αλλά και κατά ολόκληρου του υποστηρικτικού τους δικτύου. Ο δράστης μπορεί να κατασκευάζει δημόσια την εικόνα της «τρελής» γυναίκας, αντιστρέφοντας τις θέσεις θύματος και θύτη. Μία συμμετέχουσα (Σ11) περιέγραψε ότι ο πρώην σύζυγός της κρατούσε ένα ιατρικό έγγραφο από την ημέρα που εκείνη μεταφέρθηκε στο νοσοκομείο και το επιδείκνυε σε όλους ως απόδειξη ότι εκείνη ήταν «τρελή» και ότι γι’ αυτό την εγκατέλειψε, ενημερώνοντας όλο τον περίγυρό τους με αυτή την εκδοχή.</w:t>
      </w:r>
    </w:p>
    <w:p w14:paraId="34023071" w14:textId="77777777" w:rsidR="00E63D5B" w:rsidRPr="00132066" w:rsidRDefault="001F059D">
      <w:pPr>
        <w:rPr>
          <w:lang w:val="el-GR"/>
        </w:rPr>
      </w:pPr>
      <w:r>
        <w:rPr>
          <w:lang w:val="el-GR"/>
        </w:rPr>
        <w:t>Πολλές γυναίκες περιγράφουν ότι έφτασαν να μπερδεύουν τι είχε συμβεί και να αναρωτιούνται αν έφταιγαν οι ίδιες. Η αναγνώριση αυτής της χειραγώγησης (</w:t>
      </w:r>
      <w:r>
        <w:t>gaslighting</w:t>
      </w:r>
      <w:r>
        <w:rPr>
          <w:lang w:val="el-GR"/>
        </w:rPr>
        <w:t xml:space="preserve">· </w:t>
      </w:r>
      <w:r>
        <w:t>Sweet</w:t>
      </w:r>
      <w:r>
        <w:rPr>
          <w:lang w:val="el-GR"/>
        </w:rPr>
        <w:t xml:space="preserve">, 2019) από ένα οικείο </w:t>
      </w:r>
      <w:r>
        <w:rPr>
          <w:lang w:val="el-GR"/>
        </w:rPr>
        <w:lastRenderedPageBreak/>
        <w:t>πρόσωπο ή από την υπηρεσία υποστήριξης αποτέλεσε συχνά την κρίσιμη μετατόπιση από την εσωτερική σύγχυση προς την ονομασία της βίας.</w:t>
      </w:r>
    </w:p>
    <w:p w14:paraId="53093152" w14:textId="77777777" w:rsidR="00E63D5B" w:rsidRPr="00132066" w:rsidRDefault="001F059D">
      <w:pPr>
        <w:rPr>
          <w:lang w:val="el-GR"/>
        </w:rPr>
      </w:pPr>
      <w:r>
        <w:rPr>
          <w:lang w:val="el-GR"/>
        </w:rPr>
        <w:t>Ο έλεγχος της αυτονομίας, της εργασίας και των σχέσεων διαπερνά τις πιο καθημερινές αποφάσεις: σε ποιον θα μιλήσουν οι γυναίκες, πού θα πάνε, πόση ώρα θα λείψουν, αν θα δουλέψουν, αν θα δουν τους γονείς τους.</w:t>
      </w:r>
    </w:p>
    <w:p w14:paraId="22B60190" w14:textId="77777777" w:rsidR="00E63D5B" w:rsidRPr="00132066" w:rsidRDefault="001F059D">
      <w:pPr>
        <w:rPr>
          <w:lang w:val="el-GR"/>
        </w:rPr>
      </w:pPr>
      <w:r>
        <w:rPr>
          <w:lang w:val="el-GR"/>
        </w:rPr>
        <w:t>Ο αποκλεισμός από την εργασία και την κοινωνική ζωή εντείνεται μετά τη μητρότητα και παρουσιάζεται ως «φυσική» υποχρέωση της μητέρας. Όπως το έθεσε μία συμμετέχουσα (Σ13), όσα δεν είχε καταφέρει να της «κόψει» ο ίδιος, της τα «έκοψε» η γέννηση του παιδιού. Η απομόνωση δεν είναι παρεπόμενο της βίας αλλά κεντρικός μηχανισμός της: περιορίζει τις εναλλακτικές πηγές νοήματος και βοήθειας και καθιστά τον δράστη ολοένα πιο «απαραίτητο» (</w:t>
      </w:r>
      <w:r>
        <w:t>Stark</w:t>
      </w:r>
      <w:r>
        <w:rPr>
          <w:lang w:val="el-GR"/>
        </w:rPr>
        <w:t>, 2007).</w:t>
      </w:r>
    </w:p>
    <w:p w14:paraId="3B66C4EF" w14:textId="77777777" w:rsidR="00E63D5B" w:rsidRPr="00132066" w:rsidRDefault="001F059D">
      <w:pPr>
        <w:rPr>
          <w:lang w:val="el-GR"/>
        </w:rPr>
      </w:pPr>
      <w:r>
        <w:rPr>
          <w:lang w:val="el-GR"/>
        </w:rPr>
        <w:t xml:space="preserve">Η εξουσία του δράστη στηρίζεται σε αντιλήψεις για τη φροντίδα, την οικονομική παροχή και τη γυναικεία υποχρέωση να διατηρεί την οικογένεια. Η οικογένεια του δράστη μπορεί να επιβεβαιώνει τη βία, να αποδυναμώνει τα όρια της μητέρας και να μεταφέρει στο παιδί </w:t>
      </w:r>
      <w:proofErr w:type="spellStart"/>
      <w:r>
        <w:rPr>
          <w:lang w:val="el-GR"/>
        </w:rPr>
        <w:t>απαξιωτικές</w:t>
      </w:r>
      <w:proofErr w:type="spellEnd"/>
      <w:r>
        <w:rPr>
          <w:lang w:val="el-GR"/>
        </w:rPr>
        <w:t xml:space="preserve"> εικόνες για εκείνη. Η κακοποίηση αποκτά έτσι οικογενειακή και </w:t>
      </w:r>
      <w:proofErr w:type="spellStart"/>
      <w:r>
        <w:rPr>
          <w:lang w:val="el-GR"/>
        </w:rPr>
        <w:t>διαγενεακή</w:t>
      </w:r>
      <w:proofErr w:type="spellEnd"/>
      <w:r>
        <w:rPr>
          <w:lang w:val="el-GR"/>
        </w:rPr>
        <w:t xml:space="preserve"> διάσταση: ένα δίκτυο νοημάτων και συμμαχιών που προστατεύει το δικαίωμα του άνδρα στον έλεγχο.</w:t>
      </w:r>
    </w:p>
    <w:p w14:paraId="709DD392" w14:textId="77777777" w:rsidR="00E63D5B" w:rsidRPr="00132066" w:rsidRDefault="001F059D">
      <w:pPr>
        <w:pStyle w:val="20"/>
        <w:rPr>
          <w:lang w:val="el-GR"/>
        </w:rPr>
      </w:pPr>
      <w:bookmarkStart w:id="50" w:name="_Toc242134455"/>
      <w:r>
        <w:rPr>
          <w:lang w:val="el-GR"/>
        </w:rPr>
        <w:t>7.3 Θέμα 2: Ο εγκλωβισμός παράγεται κοινωνικά και υλικά</w:t>
      </w:r>
      <w:bookmarkEnd w:id="50"/>
    </w:p>
    <w:p w14:paraId="71CA8491" w14:textId="77777777" w:rsidR="00E63D5B" w:rsidRPr="00132066" w:rsidRDefault="001F059D">
      <w:pPr>
        <w:rPr>
          <w:lang w:val="el-GR"/>
        </w:rPr>
      </w:pPr>
      <w:r>
        <w:rPr>
          <w:lang w:val="el-GR"/>
        </w:rPr>
        <w:t>Το θέμα αυτό μετατοπίζει το ερώτημα από το «γιατί δεν έφυγε;» στις συνθήκες που περιόριζαν τη δυνατότητα ασφαλούς αποχώρησης (</w:t>
      </w:r>
      <w:r>
        <w:t>Anderson</w:t>
      </w:r>
      <w:r>
        <w:rPr>
          <w:lang w:val="el-GR"/>
        </w:rPr>
        <w:t xml:space="preserve"> &amp; </w:t>
      </w:r>
      <w:r>
        <w:t>Saunders</w:t>
      </w:r>
      <w:r>
        <w:rPr>
          <w:lang w:val="el-GR"/>
        </w:rPr>
        <w:t xml:space="preserve">, 2003· </w:t>
      </w:r>
      <w:r>
        <w:t>Dutton</w:t>
      </w:r>
      <w:r>
        <w:rPr>
          <w:lang w:val="el-GR"/>
        </w:rPr>
        <w:t xml:space="preserve"> &amp; </w:t>
      </w:r>
      <w:r>
        <w:t>Goodman</w:t>
      </w:r>
      <w:r>
        <w:rPr>
          <w:lang w:val="el-GR"/>
        </w:rPr>
        <w:t>, 2005). Η παραμονή ή η επιστροφή δεν ερμηνεύονται ως αποδοχή της βίας, αλλά ως αποτέλεσμα πραγματικών περιορισμών.</w:t>
      </w:r>
    </w:p>
    <w:p w14:paraId="014CAAB0" w14:textId="77777777" w:rsidR="00E63D5B" w:rsidRPr="00132066" w:rsidRDefault="001F059D">
      <w:pPr>
        <w:pStyle w:val="3"/>
        <w:rPr>
          <w:lang w:val="el-GR"/>
        </w:rPr>
      </w:pPr>
      <w:r>
        <w:rPr>
          <w:lang w:val="el-GR"/>
        </w:rPr>
        <w:t>Οικονομικός έλεγχος και υλική επισφάλεια</w:t>
      </w:r>
    </w:p>
    <w:p w14:paraId="753CC6B9" w14:textId="77777777" w:rsidR="00E63D5B" w:rsidRPr="00132066" w:rsidRDefault="001F059D">
      <w:pPr>
        <w:rPr>
          <w:lang w:val="el-GR"/>
        </w:rPr>
      </w:pPr>
      <w:r>
        <w:rPr>
          <w:lang w:val="el-GR"/>
        </w:rPr>
        <w:t>Η οικονομική εξάρτηση βιώνεται ως υπαρξιακός φόβος που μπλοκάρει κάθε κίνηση, με τη στέγαση ως την πιο πιεστική διάσταση. Σε άλλες περιπτώσεις, η αυξανόμενη οικονομική ισχύς του δράστη ενισχύει την πεποίθησή του ότι «πληρώνει τα πάντα» και άρα αποφασίζει για όλους. Η αποχώρηση δεν σημαίνει αυτόματη ανεξαρτησία, ιδίως μετά από χρόνια απλήρωτης φροντίδας ή ανασφάλιστης εργασίας. Μία συμμετέχουσα (Σ13) εξήγησε ότι η ανασφάλεια της σχέσης διαδέχεται την οικονομική ανασφάλεια: χωρίς το μικρό ποσό που της έδινε ο σύντροφός της, δεν μπορούσε να καλύψει μόνη τα έξοδα ενός σπιτιού με το παιδί, και το «βασικό πρόβλημα», όπως το ονόμασε με έμφαση, ήταν η στέγη.</w:t>
      </w:r>
    </w:p>
    <w:p w14:paraId="37A0AE88" w14:textId="77777777" w:rsidR="00E63D5B" w:rsidRPr="00132066" w:rsidRDefault="001F059D">
      <w:pPr>
        <w:rPr>
          <w:lang w:val="el-GR"/>
        </w:rPr>
      </w:pPr>
      <w:r>
        <w:rPr>
          <w:lang w:val="el-GR"/>
        </w:rPr>
        <w:t>Ο φόβος αντιποίνων βασίζεται σε προηγούμενες πράξεις και ρητές απειλές, όχι σε φαντασίωση. Η αποχώρηση είναι περίοδος δυνητικής κλιμάκωσης, γι' αυτό η απλή παραίνεση «να φύγει» χωρίς σχέδιο ασφάλειας, στέγη και νομική προστασία είναι ανεπαρκής. Μία συμμετέχουσα αναπτύσσει μια ψυχρά ορθολογική ανάλυση για το γιατί η καταγγελία μπορεί να αυξήσει τον κίνδυνο αντί να τον μειώσει.</w:t>
      </w:r>
    </w:p>
    <w:p w14:paraId="2A545812" w14:textId="77777777" w:rsidR="00E63D5B" w:rsidRPr="00132066" w:rsidRDefault="001F059D">
      <w:pPr>
        <w:pStyle w:val="3"/>
        <w:rPr>
          <w:lang w:val="el-GR"/>
        </w:rPr>
      </w:pPr>
      <w:r>
        <w:rPr>
          <w:lang w:val="el-GR"/>
        </w:rPr>
        <w:t>Τα παιδιά ως λόγος παραμονής και αποχώρησης</w:t>
      </w:r>
    </w:p>
    <w:p w14:paraId="00C37B04" w14:textId="77777777" w:rsidR="00E63D5B" w:rsidRPr="00132066" w:rsidRDefault="001F059D">
      <w:pPr>
        <w:rPr>
          <w:lang w:val="el-GR"/>
        </w:rPr>
      </w:pPr>
      <w:r>
        <w:rPr>
          <w:lang w:val="el-GR"/>
        </w:rPr>
        <w:t xml:space="preserve">Τα παιδιά έχουν αμφίσημη λειτουργία: παρατείνουν την παραμονή (οικονομική εξάρτηση, φόβος απώλειας επιμέλειας, πεποίθηση ότι χρειάζονται και τους δύο γονείς) αλλά γίνονται και ο καθοριστικός λόγος αποχώρησης, όταν οι γυναίκες αντιλαμβάνονται ότι η βία έχει στραφεί προς εκείνα. Η απειλή για την επιμέλεια αναδεικνύεται ως εξαιρετικά αποτελεσματικό εργαλείο </w:t>
      </w:r>
      <w:r>
        <w:rPr>
          <w:lang w:val="el-GR"/>
        </w:rPr>
        <w:lastRenderedPageBreak/>
        <w:t>μακροχρόνιου εγκλωβισμού. Μία γυναίκα (Σ7) περιέγραψε ότι οι απειλές για την επιμέλεια τη γέμιζαν φόβο ακόμη και στη σκέψη να αφήσει το παιδί μαζί του.</w:t>
      </w:r>
    </w:p>
    <w:p w14:paraId="6652FF13" w14:textId="77777777" w:rsidR="00E63D5B" w:rsidRPr="00132066" w:rsidRDefault="001F059D">
      <w:pPr>
        <w:pStyle w:val="3"/>
        <w:rPr>
          <w:lang w:val="el-GR"/>
        </w:rPr>
      </w:pPr>
      <w:r>
        <w:rPr>
          <w:lang w:val="el-GR"/>
        </w:rPr>
        <w:t>Απομόνωση, στίγμα και έλλειψη υποστήριξης</w:t>
      </w:r>
    </w:p>
    <w:p w14:paraId="191065B4" w14:textId="77777777" w:rsidR="00E63D5B" w:rsidRPr="000B7AA5" w:rsidRDefault="001F059D">
      <w:pPr>
        <w:rPr>
          <w:lang w:val="el-GR"/>
        </w:rPr>
      </w:pPr>
      <w:r>
        <w:rPr>
          <w:lang w:val="el-GR"/>
        </w:rPr>
        <w:t>Όταν οι γυναίκες δεν έχουν ανθρώπους που να επιβεβαιώνουν την εμπειρία τους, η εκδοχή του δράστη γίνεται δυσκολότερο να αμφισβητηθεί. Φίλοι που «εξαφανίζονται», συγγενείς που «δεν ανακατεύονται», μητέρες που της θυμίζουν ότι η επιλογή ήταν δική της και ο φόβος της «μομφής της ζωντοχήρας» κράτησαν μία γυναίκα (Σ11) τριάντα χρόνια σε έναν γάμο στον οποίο, όπως αναφέρει, ζούσε με έναν άνθρωπο αλλά στην ουσία ζούσε μόνη. Αντίθετα, ένας αδελφός που ονόμασε πρώτος το πρόβλημα ή συνάδελφοι που κινητοποιήθηκαν έμπρακτα δημιούργησαν το πρώτο ρήγμα στη σιωπή.</w:t>
      </w:r>
    </w:p>
    <w:p w14:paraId="251A7B9D" w14:textId="77777777" w:rsidR="00E63D5B" w:rsidRPr="00132066" w:rsidRDefault="001F059D">
      <w:pPr>
        <w:rPr>
          <w:lang w:val="el-GR"/>
        </w:rPr>
      </w:pPr>
      <w:r>
        <w:rPr>
          <w:lang w:val="el-GR"/>
        </w:rPr>
        <w:t>Η μεταναστευτική θέση, η γλώσσα, η ηλικία, η εκπαίδευση και η τάξη δεν «προστίθενται» απλώς στη βία. Μεταβάλλουν τις διαθέσιμες επιλογές και τους τρόπους ελέγχου. Η μετανάστευση δημιουργεί νέο πεδίο εκμετάλλευσης και απομάκρυνσης από τα δίκτυα. Η καταγωγή επηρεάζει τη νομική θέση στο διαζύγιο. Η μεγάλη ηλικία περιορίζει τη δυνατότητα να φανταστούν οι γυναίκες ένα διαφορετικό μέλλον. Η διαθεματική ανάγνωση δεν αναζητά ποια ομάδα είναι «πιο ευάλωτη» γενικά, αλλά πώς συγκεκριμένες κοινωνικές θέσεις γίνονται εργαλεία ελέγχου ή πόροι αντίστασης (</w:t>
      </w:r>
      <w:r>
        <w:t>Crenshaw</w:t>
      </w:r>
      <w:r>
        <w:rPr>
          <w:lang w:val="el-GR"/>
        </w:rPr>
        <w:t xml:space="preserve">, 1991· </w:t>
      </w:r>
      <w:r>
        <w:t>Sokoloff</w:t>
      </w:r>
      <w:r>
        <w:rPr>
          <w:lang w:val="el-GR"/>
        </w:rPr>
        <w:t xml:space="preserve"> &amp; </w:t>
      </w:r>
      <w:r>
        <w:t>Dupont</w:t>
      </w:r>
      <w:r>
        <w:rPr>
          <w:lang w:val="el-GR"/>
        </w:rPr>
        <w:t>, 2005).</w:t>
      </w:r>
    </w:p>
    <w:p w14:paraId="04050BFB" w14:textId="77777777" w:rsidR="00E63D5B" w:rsidRPr="00132066" w:rsidRDefault="001F059D">
      <w:pPr>
        <w:pStyle w:val="20"/>
        <w:rPr>
          <w:lang w:val="el-GR"/>
        </w:rPr>
      </w:pPr>
      <w:bookmarkStart w:id="51" w:name="_Toc242134456"/>
      <w:r>
        <w:rPr>
          <w:lang w:val="el-GR"/>
        </w:rPr>
        <w:t>7.4 Θέμα 3: «Το σώμα σε διαρκή ετοιμότητα»: η ενσώματη και σχεσιακή εμπειρία του τραύματος</w:t>
      </w:r>
      <w:bookmarkEnd w:id="51"/>
    </w:p>
    <w:p w14:paraId="50A95CC5" w14:textId="77777777" w:rsidR="00E63D5B" w:rsidRPr="00132066" w:rsidRDefault="001F059D">
      <w:pPr>
        <w:rPr>
          <w:lang w:val="el-GR"/>
        </w:rPr>
      </w:pPr>
      <w:r>
        <w:rPr>
          <w:lang w:val="el-GR"/>
        </w:rPr>
        <w:t>Η παρατεταμένη βία συνεχίζει να οργανώνει το σώμα, τη μνήμη, τις σχέσεις και την αίσθηση του εαυτού και μετά την απομάκρυνση. Οι αντιδράσεις των γυναικών κατανοούνται ως προσαρμογές σε συνθήκες απρόβλεπτης απειλής, όχι ως ατομική δυσλειτουργία (</w:t>
      </w:r>
      <w:r>
        <w:t>Herman</w:t>
      </w:r>
      <w:r>
        <w:rPr>
          <w:lang w:val="el-GR"/>
        </w:rPr>
        <w:t xml:space="preserve">, 1992· </w:t>
      </w:r>
      <w:r>
        <w:t>Van</w:t>
      </w:r>
      <w:r>
        <w:rPr>
          <w:lang w:val="el-GR"/>
        </w:rPr>
        <w:t xml:space="preserve"> </w:t>
      </w:r>
      <w:r>
        <w:t>der</w:t>
      </w:r>
      <w:r>
        <w:rPr>
          <w:lang w:val="el-GR"/>
        </w:rPr>
        <w:t xml:space="preserve"> </w:t>
      </w:r>
      <w:r>
        <w:t>Kolk</w:t>
      </w:r>
      <w:r>
        <w:rPr>
          <w:lang w:val="el-GR"/>
        </w:rPr>
        <w:t>, 2014).</w:t>
      </w:r>
    </w:p>
    <w:p w14:paraId="0C58E170" w14:textId="77777777" w:rsidR="00E63D5B" w:rsidRPr="00132066" w:rsidRDefault="001F059D">
      <w:pPr>
        <w:pStyle w:val="3"/>
        <w:rPr>
          <w:lang w:val="el-GR"/>
        </w:rPr>
      </w:pPr>
      <w:r>
        <w:rPr>
          <w:lang w:val="el-GR"/>
        </w:rPr>
        <w:t xml:space="preserve">Διαρκής απειλή και </w:t>
      </w:r>
      <w:proofErr w:type="spellStart"/>
      <w:r>
        <w:rPr>
          <w:lang w:val="el-GR"/>
        </w:rPr>
        <w:t>υπερεπαγρύπνηση</w:t>
      </w:r>
      <w:proofErr w:type="spellEnd"/>
    </w:p>
    <w:p w14:paraId="48CD406E" w14:textId="77777777" w:rsidR="00E63D5B" w:rsidRPr="00132066" w:rsidRDefault="001F059D">
      <w:pPr>
        <w:rPr>
          <w:lang w:val="el-GR"/>
        </w:rPr>
      </w:pPr>
      <w:r>
        <w:rPr>
          <w:lang w:val="el-GR"/>
        </w:rPr>
        <w:t xml:space="preserve">Οι αντιδράσεις κινούνται από τη σωματική ακινητοποίηση και την αποσύνδεση («ένστικτα αυτοσυντήρησης», όπως το περιέγραψε η Σ5) έως τον χρόνιο, ανέκφραστο θυμό και τη σωματική </w:t>
      </w:r>
      <w:proofErr w:type="spellStart"/>
      <w:r>
        <w:rPr>
          <w:lang w:val="el-GR"/>
        </w:rPr>
        <w:t>εκφόρτιση</w:t>
      </w:r>
      <w:proofErr w:type="spellEnd"/>
      <w:r>
        <w:rPr>
          <w:lang w:val="el-GR"/>
        </w:rPr>
        <w:t xml:space="preserve"> μέσω του φαγητού. Η επιφυλακή είναι σχεσιακή: δεν αφορά μόνο την προσωπική ασφάλεια αλλά την αδυναμία να προστατεύσει η μητέρα τα παιδιά όταν βρίσκονται εκτός του ελέγχου της. Όσο ο δράστης παραμένει στη ζωή τους, η απειλή είναι πραγματική και όχι μόνο αναμνηστική. Μία μητέρα (Σ15) περιέγραψε ως επιθυμία της την ελευθερία από έναν φόβο που, όσο υπάρχει αυτός ο άνθρωπος, νιώθει ότι θα την συνοδεύει πάντα, και ιδίως τον φόβο για τις στιγμές που εκείνος θα έχει τα παιδιά, ελπίζοντας ότι τα παιδιά θα μπορούν κάποτε να τον αντιμετωπίσουν.</w:t>
      </w:r>
    </w:p>
    <w:p w14:paraId="052DA564" w14:textId="77777777" w:rsidR="00E63D5B" w:rsidRPr="00132066" w:rsidRDefault="001F059D">
      <w:pPr>
        <w:pStyle w:val="3"/>
        <w:rPr>
          <w:lang w:val="el-GR"/>
        </w:rPr>
      </w:pPr>
      <w:r>
        <w:rPr>
          <w:lang w:val="el-GR"/>
        </w:rPr>
        <w:t>Τραυματική μνήμη, αποφυγή και αφήγηση</w:t>
      </w:r>
    </w:p>
    <w:p w14:paraId="432E903F" w14:textId="77777777" w:rsidR="00E63D5B" w:rsidRPr="00132066" w:rsidRDefault="001F059D">
      <w:pPr>
        <w:rPr>
          <w:lang w:val="el-GR"/>
        </w:rPr>
      </w:pPr>
      <w:r>
        <w:rPr>
          <w:lang w:val="el-GR"/>
        </w:rPr>
        <w:t>Η τραυματική μνήμη εκδηλώνεται ως αποδιοργανωμένη αφήγηση: δυσκολία χρονολόγησης, σύγχυση παρελθόντος και παρόντος, έλλειψη συνοχής (</w:t>
      </w:r>
      <w:proofErr w:type="spellStart"/>
      <w:r>
        <w:rPr>
          <w:lang w:val="el-GR"/>
        </w:rPr>
        <w:t>Brewin</w:t>
      </w:r>
      <w:proofErr w:type="spellEnd"/>
      <w:r>
        <w:rPr>
          <w:lang w:val="el-GR"/>
        </w:rPr>
        <w:t>, 2014), όπως όταν μία συμμετέχουσα (Σ10) χάνει μέσα στην αφήγηση τον ειρμό και δεν ξέρει πώς να συνεχίσει. Οι αναμνήσεις επιστρέφουν αυτόκλητες στις στιγμές μοναξιάς, αλλά η σχέση με την αφήγηση αλλάζει σταδιακά. Μία γυναίκα (Σ16) μίλησε για μια «μεγάλη πληγή» που δύσκολα επουλώνεται: παλαιότερα δεν μπορούσε να διηγηθεί την ιστορία της χωρίς να κλαίει, ενώ τώρα λέει στον εαυτό της ότι δεν ήρθε το τέλος του κόσμου και ότι μπορεί να παλέψει και να τα καταφέρει.</w:t>
      </w:r>
    </w:p>
    <w:p w14:paraId="6C608D16" w14:textId="77777777" w:rsidR="00E63D5B" w:rsidRPr="00132066" w:rsidRDefault="001F059D">
      <w:pPr>
        <w:pStyle w:val="3"/>
        <w:rPr>
          <w:lang w:val="el-GR"/>
        </w:rPr>
      </w:pPr>
      <w:r>
        <w:rPr>
          <w:lang w:val="el-GR"/>
        </w:rPr>
        <w:lastRenderedPageBreak/>
        <w:t>Κατάρρευση της εμπιστοσύνης και μεταβολή της ταυτότητας</w:t>
      </w:r>
    </w:p>
    <w:p w14:paraId="4F117AC7" w14:textId="77777777" w:rsidR="00E63D5B" w:rsidRPr="00132066" w:rsidRDefault="001F059D">
      <w:pPr>
        <w:rPr>
          <w:lang w:val="el-GR"/>
        </w:rPr>
      </w:pPr>
      <w:r>
        <w:rPr>
          <w:lang w:val="el-GR"/>
        </w:rPr>
        <w:t>Η εμπειρία της προδοσίας διαμορφώνει μια γενικευμένη αμυντικότητα, την αίσθηση ότι δεν μπορεί πλέον να είναι σίγουρη για κανέναν (Σ13). Οι γυναίκες περιγράφουν «ελεγχόμενη αποκάλυψη» ακόμη και προς τα πιο οικεία πρόσωπα, ως προσαρμογή σε ένα κοινωνικό πλαίσιο που δεν αναγνωρίζει την έμφυλη βία. Οι κοινωνικά επιβαλλόμενες ταυτότητες της συζύγου και της μητέρας καταργούν, όπως το έθεσε η Σ13, την ατομική ταυτότητα ενός ανθρώπου που θέλει να μορφωθεί και να αναπτυχθεί. Πίσω από τη δημόσια εικόνα μιας δυναμικής γυναίκας μπορεί να κρύβονται χαμηλή αυτοεκτίμηση και αυτοϋπονόμευση, εύρημα σημαντικό για τους/τις επαγγελματίες: η κοινωνική λειτουργικότητα δεν αποκλείει τη βαθιά αμφιβολία.</w:t>
      </w:r>
    </w:p>
    <w:p w14:paraId="6CA012CF" w14:textId="77777777" w:rsidR="00E63D5B" w:rsidRPr="00132066" w:rsidRDefault="001F059D">
      <w:pPr>
        <w:pStyle w:val="3"/>
        <w:rPr>
          <w:lang w:val="el-GR"/>
        </w:rPr>
      </w:pPr>
      <w:proofErr w:type="spellStart"/>
      <w:r>
        <w:rPr>
          <w:lang w:val="el-GR"/>
        </w:rPr>
        <w:t>Αυτομομφή</w:t>
      </w:r>
      <w:proofErr w:type="spellEnd"/>
      <w:r>
        <w:rPr>
          <w:lang w:val="el-GR"/>
        </w:rPr>
        <w:t xml:space="preserve"> και </w:t>
      </w:r>
      <w:proofErr w:type="spellStart"/>
      <w:r>
        <w:rPr>
          <w:lang w:val="el-GR"/>
        </w:rPr>
        <w:t>υπερευθύνη</w:t>
      </w:r>
      <w:proofErr w:type="spellEnd"/>
    </w:p>
    <w:p w14:paraId="53FE8C54" w14:textId="77777777" w:rsidR="00E63D5B" w:rsidRPr="00132066" w:rsidRDefault="001F059D">
      <w:pPr>
        <w:rPr>
          <w:lang w:val="el-GR"/>
        </w:rPr>
      </w:pPr>
      <w:r>
        <w:rPr>
          <w:lang w:val="el-GR"/>
        </w:rPr>
        <w:t xml:space="preserve">Η </w:t>
      </w:r>
      <w:proofErr w:type="spellStart"/>
      <w:r>
        <w:rPr>
          <w:lang w:val="el-GR"/>
        </w:rPr>
        <w:t>αυτομομφή</w:t>
      </w:r>
      <w:proofErr w:type="spellEnd"/>
      <w:r>
        <w:rPr>
          <w:lang w:val="el-GR"/>
        </w:rPr>
        <w:t xml:space="preserve"> είναι η πιο διάχυτη μορφή εσωτερίκευσης και η πιο επιβλαβής για την αναζήτηση βοήθειας: οι γυναίκες αναλαμβάνουν την ευθύνη για τη βία ακόμη και κατά την εγκυμοσύνη, ενώ η οικογένειά τους συχνά την ενισχύει. Η αναδρομική ερμηνεία της σχέσης ως «</w:t>
      </w:r>
      <w:proofErr w:type="spellStart"/>
      <w:r>
        <w:rPr>
          <w:lang w:val="el-GR"/>
        </w:rPr>
        <w:t>συνεξάρτησης</w:t>
      </w:r>
      <w:proofErr w:type="spellEnd"/>
      <w:r>
        <w:rPr>
          <w:lang w:val="el-GR"/>
        </w:rPr>
        <w:t>» από μία συμμετέχουσα αποτελεί τη δική της προσπάθεια να κατανοήσει γιατί η απουσία αγάπης είχε γίνει ανεκτή, όχι διάγνωση. Η ίδια συμμετέχουσα (Σ13) περιέγραψε πώς, ακόμη και επτά μηνών έγκυος, είχε πειστεί ότι «μόνο εγώ φταίω»: ότι η ίδια είχε προβληματική συμπεριφορά και ότι εκείνη ήταν που χτυπούσε, όχι αυτός, αν και σωματικά δεν ήταν καν σε θέση να το κάνει.</w:t>
      </w:r>
    </w:p>
    <w:p w14:paraId="675A598A" w14:textId="77777777" w:rsidR="00E63D5B" w:rsidRPr="00132066" w:rsidRDefault="001F059D">
      <w:pPr>
        <w:rPr>
          <w:lang w:val="el-GR"/>
        </w:rPr>
      </w:pPr>
      <w:r>
        <w:rPr>
          <w:lang w:val="el-GR"/>
        </w:rPr>
        <w:t>Οι γυναίκες δεν περιγράφουν απλώς. Ερμηνεύουν, ονοματίζουν εκ των υστέρων τη βία και αναζητούν νόημα. Το παρελθόν τοποθετείται στη θέση του «δασκάλου» («το παρελθόν διδάσκει», Σ11, η οποία δεν θέλει να ξεχάσει όσα έζησε), ενώ η ίδια η ερευνητική συνέντευξη γίνεται για ορισμένες χώρος όπου η σκέψη και η αφήγηση συμβαίνουν ταυτόχρονα.</w:t>
      </w:r>
    </w:p>
    <w:p w14:paraId="1029F9F9" w14:textId="77777777" w:rsidR="00E63D5B" w:rsidRPr="00132066" w:rsidRDefault="001F059D">
      <w:pPr>
        <w:pStyle w:val="20"/>
        <w:rPr>
          <w:lang w:val="el-GR"/>
        </w:rPr>
      </w:pPr>
      <w:bookmarkStart w:id="52" w:name="_Toc242134457"/>
      <w:r>
        <w:rPr>
          <w:lang w:val="el-GR"/>
        </w:rPr>
        <w:t xml:space="preserve">7.5 Θέμα 4: «Το οικείο μοιάζει φυσιολογικό»: οικογενειακά και </w:t>
      </w:r>
      <w:proofErr w:type="spellStart"/>
      <w:r>
        <w:rPr>
          <w:lang w:val="el-GR"/>
        </w:rPr>
        <w:t>έμφυλα</w:t>
      </w:r>
      <w:proofErr w:type="spellEnd"/>
      <w:r>
        <w:rPr>
          <w:lang w:val="el-GR"/>
        </w:rPr>
        <w:t xml:space="preserve"> σενάρια </w:t>
      </w:r>
      <w:proofErr w:type="spellStart"/>
      <w:r>
        <w:rPr>
          <w:lang w:val="el-GR"/>
        </w:rPr>
        <w:t>διαγενεακής</w:t>
      </w:r>
      <w:proofErr w:type="spellEnd"/>
      <w:r>
        <w:rPr>
          <w:lang w:val="el-GR"/>
        </w:rPr>
        <w:t xml:space="preserve"> συνέχειας</w:t>
      </w:r>
      <w:bookmarkEnd w:id="52"/>
    </w:p>
    <w:p w14:paraId="35677C15" w14:textId="77777777" w:rsidR="00E63D5B" w:rsidRPr="00132066" w:rsidRDefault="001F059D">
      <w:pPr>
        <w:rPr>
          <w:lang w:val="el-GR"/>
        </w:rPr>
      </w:pPr>
      <w:r>
        <w:rPr>
          <w:lang w:val="el-GR"/>
        </w:rPr>
        <w:t xml:space="preserve">Το θέμα αυτό βρίσκεται στον πυρήνα του ερευνητικού ερωτήματος. Η </w:t>
      </w:r>
      <w:proofErr w:type="spellStart"/>
      <w:r>
        <w:rPr>
          <w:lang w:val="el-GR"/>
        </w:rPr>
        <w:t>διαγενεακή</w:t>
      </w:r>
      <w:proofErr w:type="spellEnd"/>
      <w:r>
        <w:rPr>
          <w:lang w:val="el-GR"/>
        </w:rPr>
        <w:t xml:space="preserve"> μετάδοση δεν εμφανίζεται ως αντιγραφή μιας βίαιης πράξης, αλλά ως μεταφορά των ορίων του οικείου και του ανεκτού: τι θεωρείται φυσιολογική σχέση, ποιος δικαιούται εξουσία, ποιος οφείλει να υπομένει, πώς εκφράζεται η φροντίδα, αν επιτρέπεται η αποχώρηση.</w:t>
      </w:r>
    </w:p>
    <w:p w14:paraId="5E0FF510" w14:textId="77777777" w:rsidR="00E63D5B" w:rsidRPr="00132066" w:rsidRDefault="001F059D">
      <w:pPr>
        <w:pStyle w:val="3"/>
        <w:rPr>
          <w:lang w:val="el-GR"/>
        </w:rPr>
      </w:pPr>
      <w:r>
        <w:rPr>
          <w:lang w:val="el-GR"/>
        </w:rPr>
        <w:t>Η οικογένεια προέλευσης ως πρώτος σχεσιακός χάρτης</w:t>
      </w:r>
    </w:p>
    <w:p w14:paraId="253952F0" w14:textId="77777777" w:rsidR="00E63D5B" w:rsidRPr="00132066" w:rsidRDefault="001F059D">
      <w:pPr>
        <w:rPr>
          <w:lang w:val="el-GR"/>
        </w:rPr>
      </w:pPr>
      <w:r>
        <w:rPr>
          <w:lang w:val="el-GR"/>
        </w:rPr>
        <w:t>Η παιδική έκθεση περιλαμβάνει όχι μόνο τη βία του πατέρα προς τη μητέρα, που εισέρχεται στην εσωτερική αναπαράσταση των σχέσεων (η Σ2 μεγάλωσε με αυτή την εικόνα και ανέπτυξε, όπως αναφέρει, μια γενικευμένη άμυνα απέναντι στους άντρες), αλλά και τη συναισθηματική απουσία, την παραμέληση και τη σιωπή. Η απουσία αγάπης είχε γίνει, όπως το θέτει μία γυναίκα, κάτι «μαθημένο» και αναμενόμενο και στον γάμο. Δεν γίνεται επιθυμητή, αλλά παύει να λειτουργεί ως προειδοποιητικό σήμα, επειδή βρίσκεται εντός των ορίων του γνωστού. Η Σ2 περιέγραψε πώς, κρυμμένη πίσω από έναν καναπέ χωρίς οι γονείς της να το γνωρίζουν, είδε τον πατέρα της να ασκεί βία στη μητέρα της, μια εμπειρία που τη σημάδεψε βαθιά και που, όπως αναφέρει, μόλις πρόσφατα κατάφερε να επουλώσει.</w:t>
      </w:r>
    </w:p>
    <w:p w14:paraId="232F78C9" w14:textId="77777777" w:rsidR="00E63D5B" w:rsidRPr="00132066" w:rsidRDefault="001F059D">
      <w:pPr>
        <w:pStyle w:val="3"/>
        <w:rPr>
          <w:lang w:val="el-GR"/>
        </w:rPr>
      </w:pPr>
      <w:r>
        <w:rPr>
          <w:lang w:val="el-GR"/>
        </w:rPr>
        <w:lastRenderedPageBreak/>
        <w:t>Η μετάδοση της ανοχής, της σιωπής και των έμφυλων «πρέπει»</w:t>
      </w:r>
    </w:p>
    <w:p w14:paraId="6F398850" w14:textId="77777777" w:rsidR="00E63D5B" w:rsidRPr="00132066" w:rsidRDefault="001F059D">
      <w:pPr>
        <w:rPr>
          <w:lang w:val="el-GR"/>
        </w:rPr>
      </w:pPr>
      <w:r>
        <w:rPr>
          <w:lang w:val="el-GR"/>
        </w:rPr>
        <w:t>Αρκετές γυναίκες αναγνωρίζουν στη μητέρα τους το πρότυπο της γυναίκας που υπομένει για χάρη των παιδιών. «κληρονόμησα» τα «πρέπει» της. Η επιβολή της σιωπής στην παιδική ηλικία γίνεται δυσκολία αναζήτησης βοήθειας στην ενήλικη ζωή. Ακόμη και όταν το παιδί απορρίπτει συνειδητά την ανοχή της μητέρας, η παρατεταμένη έκθεση «εκπαιδεύει» στην αποδοχή της βίας. Η δομή που επανέρχεται δεν είναι το φύλο του ρόλου αλλά η σχέση ενός κυρίαρχου και ενός αποδυναμωμένου πόλου. Μία συμμετέχουσα (Σ9) θεωρεί ότι «κληρονόμησε» ολόκληρο τον χαρακτήρα της μητέρας της και όλα τα «πρέπει» που εκείνη κουβαλούσε από τα χρόνια της στο χωριό.</w:t>
      </w:r>
    </w:p>
    <w:p w14:paraId="0D2F6857" w14:textId="77777777" w:rsidR="00E63D5B" w:rsidRPr="00132066" w:rsidRDefault="001F059D">
      <w:pPr>
        <w:pStyle w:val="3"/>
        <w:rPr>
          <w:lang w:val="el-GR"/>
        </w:rPr>
      </w:pPr>
      <w:r>
        <w:rPr>
          <w:lang w:val="el-GR"/>
        </w:rPr>
        <w:t xml:space="preserve">Η </w:t>
      </w:r>
      <w:proofErr w:type="spellStart"/>
      <w:r>
        <w:rPr>
          <w:lang w:val="el-GR"/>
        </w:rPr>
        <w:t>διαγενεακή</w:t>
      </w:r>
      <w:proofErr w:type="spellEnd"/>
      <w:r>
        <w:rPr>
          <w:lang w:val="el-GR"/>
        </w:rPr>
        <w:t xml:space="preserve"> αλυσίδα στην οικογένεια του δράστη</w:t>
      </w:r>
    </w:p>
    <w:p w14:paraId="6EC28E12" w14:textId="77777777" w:rsidR="00E63D5B" w:rsidRPr="00132066" w:rsidRDefault="001F059D">
      <w:pPr>
        <w:rPr>
          <w:lang w:val="el-GR"/>
        </w:rPr>
      </w:pPr>
      <w:r>
        <w:rPr>
          <w:lang w:val="el-GR"/>
        </w:rPr>
        <w:t>Οι γυναίκες προσπαθούν να κατανοήσουν τη βία μέσα από την οικογένεια καταγωγής του δράστη: «μια αλυσίδα οικογενειακή» (Σ2), ένας πατέρας που ήταν, όπως το θέτει άλλη (Σ7), «</w:t>
      </w:r>
      <w:proofErr w:type="spellStart"/>
      <w:r>
        <w:rPr>
          <w:lang w:val="el-GR"/>
        </w:rPr>
        <w:t>copy-paste</w:t>
      </w:r>
      <w:proofErr w:type="spellEnd"/>
      <w:r>
        <w:rPr>
          <w:lang w:val="el-GR"/>
        </w:rPr>
        <w:t>». Η κατανόηση, ωστόσο, δεν μετατρέπεται σε δικαιολόγηση: το τραυματικό ιστορικό φωτίζει την κοινωνικοποίηση στη βία αλλά δεν καταργεί την ευθύνη για τις ενήλικες πράξεις.</w:t>
      </w:r>
    </w:p>
    <w:p w14:paraId="38D138C8" w14:textId="77777777" w:rsidR="00E63D5B" w:rsidRPr="00132066" w:rsidRDefault="001F059D">
      <w:pPr>
        <w:rPr>
          <w:lang w:val="el-GR"/>
        </w:rPr>
      </w:pPr>
      <w:r>
        <w:rPr>
          <w:lang w:val="el-GR"/>
        </w:rPr>
        <w:t xml:space="preserve">Για μία μετανάστρια, η </w:t>
      </w:r>
      <w:proofErr w:type="spellStart"/>
      <w:r>
        <w:rPr>
          <w:lang w:val="el-GR"/>
        </w:rPr>
        <w:t>διαγενεακή</w:t>
      </w:r>
      <w:proofErr w:type="spellEnd"/>
      <w:r>
        <w:rPr>
          <w:lang w:val="el-GR"/>
        </w:rPr>
        <w:t xml:space="preserve"> διάσταση υπερβαίνει την ατομική οικογένεια και τοποθετείται σε ένα σύστημα πρώιμων και εξαναγκαστικών γάμων: η μητέρα της παντρεύτηκε στα δεκαπέντε, οι αδελφές της βίωσαν τα ίδια (Σ16). Η μετάδοση μπορεί να συντελείται μέσω κοινωνικών θεσμών και συλλογικών αντιλήψεων, όχι μόνο μέσω της παρατήρησης των γονέων.</w:t>
      </w:r>
    </w:p>
    <w:p w14:paraId="4D7C2E64" w14:textId="77777777" w:rsidR="00E63D5B" w:rsidRPr="00132066" w:rsidRDefault="001F059D">
      <w:pPr>
        <w:pStyle w:val="3"/>
        <w:rPr>
          <w:lang w:val="el-GR"/>
        </w:rPr>
      </w:pPr>
      <w:r>
        <w:rPr>
          <w:lang w:val="el-GR"/>
        </w:rPr>
        <w:t>Μη γραμμικότητα και αποκλίνουσες περιπτώσεις</w:t>
      </w:r>
    </w:p>
    <w:p w14:paraId="300C9516" w14:textId="77777777" w:rsidR="00E63D5B" w:rsidRPr="00132066" w:rsidRDefault="001F059D">
      <w:pPr>
        <w:rPr>
          <w:lang w:val="el-GR"/>
        </w:rPr>
      </w:pPr>
      <w:r>
        <w:rPr>
          <w:lang w:val="el-GR"/>
        </w:rPr>
        <w:t xml:space="preserve">Δεν εντοπίζουν όλες οι γυναίκες συνέχεια. Ορισμένες μεγάλωσαν σε αγαπημένο περιβάλλον και δεν βλέπουν σύνδεση (η Σ14 περιγράφει τους γονείς της ως «πολύ αγαπημένους»), άλλες αναγνωρίζουν στην οικογένειά τους «μια πολύ καλή βάση» που λειτουργεί ως πόρος. Οι περιπτώσεις αυτές είναι κρίσιμες: ούτε η προηγούμενη έκθεση είναι αναγκαία προϋπόθεση </w:t>
      </w:r>
      <w:proofErr w:type="spellStart"/>
      <w:r>
        <w:rPr>
          <w:lang w:val="el-GR"/>
        </w:rPr>
        <w:t>θυματοποίησης</w:t>
      </w:r>
      <w:proofErr w:type="spellEnd"/>
      <w:r>
        <w:rPr>
          <w:lang w:val="el-GR"/>
        </w:rPr>
        <w:t>, ούτε η τραυματική ιστορία οδηγεί υποχρεωτικά σε αναπαραγωγή. Από τις οικογένειες μεταδίδονται επίσης ανθεκτικότητα, φροντίδα και δυνατότητα μετασχηματισμού.</w:t>
      </w:r>
    </w:p>
    <w:p w14:paraId="6DC02FE7" w14:textId="77777777" w:rsidR="00E63D5B" w:rsidRPr="00132066" w:rsidRDefault="001F059D">
      <w:pPr>
        <w:pStyle w:val="20"/>
        <w:rPr>
          <w:lang w:val="el-GR"/>
        </w:rPr>
      </w:pPr>
      <w:bookmarkStart w:id="53" w:name="_Toc242134458"/>
      <w:r>
        <w:rPr>
          <w:lang w:val="el-GR"/>
        </w:rPr>
        <w:t>7.6 Θέμα 5: Τα παιδιά βλέπουν, νιώθουν και παίρνουν θέση</w:t>
      </w:r>
      <w:bookmarkEnd w:id="53"/>
    </w:p>
    <w:p w14:paraId="00FA92A1" w14:textId="77777777" w:rsidR="00E63D5B" w:rsidRPr="00132066" w:rsidRDefault="001F059D">
      <w:pPr>
        <w:rPr>
          <w:lang w:val="el-GR"/>
        </w:rPr>
      </w:pPr>
      <w:r>
        <w:rPr>
          <w:lang w:val="el-GR"/>
        </w:rPr>
        <w:t>Το θέμα αμφισβητεί την εικόνα του παιδιού ως παθητικού μάρτυρα. Τα παιδιά παρατηρούν, φοβούνται, σωματοποιούν, φροντίζουν, μιμούνται, αντιστέκονται και διατυπώνουν κρίση.</w:t>
      </w:r>
    </w:p>
    <w:p w14:paraId="27D7D892" w14:textId="77777777" w:rsidR="00E63D5B" w:rsidRPr="00132066" w:rsidRDefault="001F059D">
      <w:pPr>
        <w:pStyle w:val="3"/>
        <w:rPr>
          <w:lang w:val="el-GR"/>
        </w:rPr>
      </w:pPr>
      <w:r>
        <w:rPr>
          <w:lang w:val="el-GR"/>
        </w:rPr>
        <w:t>Μέσα στο πεδίο της βίας και του ελέγχου</w:t>
      </w:r>
    </w:p>
    <w:p w14:paraId="1E9C27B8" w14:textId="77777777" w:rsidR="00E63D5B" w:rsidRPr="00132066" w:rsidRDefault="001F059D">
      <w:pPr>
        <w:rPr>
          <w:lang w:val="el-GR"/>
        </w:rPr>
      </w:pPr>
      <w:r>
        <w:rPr>
          <w:lang w:val="el-GR"/>
        </w:rPr>
        <w:t>Τα παιδιά είναι παρόντα σε σοβαρά περιστατικά (η Σ9 χτυπήθηκε στο κεφάλι με αντικείμενο μέχρι αιμορραγίας μπροστά στα παιδιά) και αναλαμβάνουν δράση όταν ο δράστης αποχωρεί, όπως ο γιος που αναγκάζεται να ζητήσει βοήθεια. Ο έλεγχος επεκτείνεται στην επόμενη γενιά: ο δράστης χειρίζεται την αντίληψη του παιδιού (λέγοντας στο παιδί ότι η μητέρα του το «παράτησε» για να σπουδάσει, Σ13) και το τοποθετεί ανάμεσα σε αντιφατικές εκδοχές της πραγματικότητας.</w:t>
      </w:r>
    </w:p>
    <w:p w14:paraId="67AC722E" w14:textId="77777777" w:rsidR="00E63D5B" w:rsidRPr="00132066" w:rsidRDefault="001F059D">
      <w:pPr>
        <w:pStyle w:val="3"/>
        <w:rPr>
          <w:lang w:val="el-GR"/>
        </w:rPr>
      </w:pPr>
      <w:r>
        <w:rPr>
          <w:lang w:val="el-GR"/>
        </w:rPr>
        <w:t>Σωματοποίηση, απόσυρση και απορρύθμιση</w:t>
      </w:r>
    </w:p>
    <w:p w14:paraId="5DA536F9" w14:textId="77777777" w:rsidR="00E63D5B" w:rsidRPr="00132066" w:rsidRDefault="001F059D">
      <w:pPr>
        <w:rPr>
          <w:lang w:val="el-GR"/>
        </w:rPr>
      </w:pPr>
      <w:r>
        <w:rPr>
          <w:lang w:val="el-GR"/>
        </w:rPr>
        <w:t xml:space="preserve">Οι αντιδράσεις διαφέρουν: σωματικοί πόνοι, τικ, κρίσεις πανικού, σχολική άρνηση, απόσυρση ή, αντίθετα, </w:t>
      </w:r>
      <w:proofErr w:type="spellStart"/>
      <w:r>
        <w:rPr>
          <w:lang w:val="el-GR"/>
        </w:rPr>
        <w:t>υπερεπένδυση</w:t>
      </w:r>
      <w:proofErr w:type="spellEnd"/>
      <w:r>
        <w:rPr>
          <w:lang w:val="el-GR"/>
        </w:rPr>
        <w:t xml:space="preserve"> στη σχολική επίδοση ως προσπάθεια να αποδείξει το παιδί την αξία του. Δεν υπάρχει ένα μοναδικό «προφίλ» εκτεθειμένου παιδιού. Ο θυμός, όταν δεν εκφράζεται προς τα έξω, κατευθύνεται συχνά προς τη μητέρα, το μοναδικό «ασφαλές» πρόσωπο για αποφόρτιση. Μία </w:t>
      </w:r>
      <w:r>
        <w:rPr>
          <w:lang w:val="el-GR"/>
        </w:rPr>
        <w:lastRenderedPageBreak/>
        <w:t>μητέρα (Σ9) περιέγραψε ότι και τα δύο παιδιά της δεν είναι καλά ψυχολογικά. Ο γιος της παρακολουθείται από ψυχολόγο εδώ και έναν χρόνο και παραπέμφθηκε και σε ψυχίατρο, επειδή δεν μπορούσε να διαχειριστεί όσα ένιωθε και τον έπιαναν κρίσεις πανικού στις εξετάσεις.</w:t>
      </w:r>
    </w:p>
    <w:p w14:paraId="263AD1F7" w14:textId="77777777" w:rsidR="00E63D5B" w:rsidRPr="00132066" w:rsidRDefault="001F059D">
      <w:pPr>
        <w:rPr>
          <w:lang w:val="el-GR"/>
        </w:rPr>
      </w:pPr>
      <w:r>
        <w:rPr>
          <w:lang w:val="el-GR"/>
        </w:rPr>
        <w:t xml:space="preserve">Συχνή είναι και η </w:t>
      </w:r>
      <w:proofErr w:type="spellStart"/>
      <w:r>
        <w:rPr>
          <w:lang w:val="el-GR"/>
        </w:rPr>
        <w:t>γονεοποίηση</w:t>
      </w:r>
      <w:proofErr w:type="spellEnd"/>
      <w:r>
        <w:rPr>
          <w:lang w:val="el-GR"/>
        </w:rPr>
        <w:t xml:space="preserve">: παιδιά που από το δημοτικό δεν ένιωσαν ποτέ ξέγνοιαστα, γιατί ανησυχούσαν για την ασφάλεια της μητέρας και φρόντιζαν τα μικρότερα αδέλφια. Η </w:t>
      </w:r>
      <w:proofErr w:type="spellStart"/>
      <w:r>
        <w:rPr>
          <w:lang w:val="el-GR"/>
        </w:rPr>
        <w:t>γονεοποίηση</w:t>
      </w:r>
      <w:proofErr w:type="spellEnd"/>
      <w:r>
        <w:rPr>
          <w:lang w:val="el-GR"/>
        </w:rPr>
        <w:t xml:space="preserve"> συνδέει τις γενιές με δύο τρόπους: το παιδί αναλαμβάνει πρόωρα ενήλικη ευθύνη και μπορεί αργότερα, χωρίς να το συνειδητοποιεί, να μεταφέρει το ίδιο βάρος στα δικά του παιδιά, όπως η μητέρα που «για ευκολία» ανέθεσε στον γιο της τη διαχείριση των λογαριασμών του σπιτιού.</w:t>
      </w:r>
    </w:p>
    <w:p w14:paraId="3995AC99" w14:textId="77777777" w:rsidR="00E63D5B" w:rsidRPr="00132066" w:rsidRDefault="001F059D">
      <w:pPr>
        <w:pStyle w:val="3"/>
        <w:rPr>
          <w:lang w:val="el-GR"/>
        </w:rPr>
      </w:pPr>
      <w:r>
        <w:rPr>
          <w:lang w:val="el-GR"/>
        </w:rPr>
        <w:t>Μίμηση βίαιων και έμφυλων προτύπων</w:t>
      </w:r>
    </w:p>
    <w:p w14:paraId="3E0B4871" w14:textId="77777777" w:rsidR="00E63D5B" w:rsidRPr="00132066" w:rsidRDefault="001F059D">
      <w:pPr>
        <w:rPr>
          <w:lang w:val="el-GR"/>
        </w:rPr>
      </w:pPr>
      <w:r>
        <w:rPr>
          <w:lang w:val="el-GR"/>
        </w:rPr>
        <w:t>Εδώ η μετάδοση εμφανίζεται στις πιο άμεσες μορφές της: ο μικρός γιος που μετά το επεισόδιο αποκαλεί υβριστικά τη μητέρα του και αναπαράγει τις συμπεριφορές του πατέρα. Το παιδί που απειλεί να της σπάσει το κινητό «όπως έκανε ο μπαμπάς» (Σ14)</w:t>
      </w:r>
      <w:r>
        <w:rPr>
          <w:i/>
          <w:lang w:val="el-GR"/>
        </w:rPr>
        <w:t xml:space="preserve"> και αργότερα δηλώνει ότι θ</w:t>
      </w:r>
      <w:r>
        <w:rPr>
          <w:lang w:val="el-GR"/>
        </w:rPr>
        <w:t>α γίνει «κακός σαν τον μπαμπά». Μέχρι και τη σωματική βία του παιδιού προς την ίδια τη μητέρα. Μία μητέρα (Σ5) αναγνωρίζει στον μικρό γιο της τη νοοτροπία ότι «για να είσαι άντρας πρέπει να χτυπάς», και στερεοτυπικές εκφράσεις που η ίδια έχει ακούσει από τον πατέρα του.</w:t>
      </w:r>
    </w:p>
    <w:p w14:paraId="51E6EF3E" w14:textId="77777777" w:rsidR="00E63D5B" w:rsidRPr="00132066" w:rsidRDefault="001F059D">
      <w:pPr>
        <w:pStyle w:val="3"/>
        <w:rPr>
          <w:lang w:val="el-GR"/>
        </w:rPr>
      </w:pPr>
      <w:r>
        <w:rPr>
          <w:lang w:val="el-GR"/>
        </w:rPr>
        <w:t>Η φωνή και η αντίσταση των παιδιών</w:t>
      </w:r>
    </w:p>
    <w:p w14:paraId="2374EF59" w14:textId="77777777" w:rsidR="00E63D5B" w:rsidRPr="00132066" w:rsidRDefault="001F059D">
      <w:pPr>
        <w:rPr>
          <w:lang w:val="el-GR"/>
        </w:rPr>
      </w:pPr>
      <w:r>
        <w:rPr>
          <w:lang w:val="el-GR"/>
        </w:rPr>
        <w:t xml:space="preserve">Τα παιδιά ονοματίζουν τη βία, την απορρίπτουν και ζητούν προστασία: ο γιος της Σ15 δήλωσε στον πατέρα του ότι, μετά τα χτυπήματα, τα παιδιά δεν θα πάνε στο σπίτι του, και η κόρη της Σ12 της ζήτησε «ξεκάθαρα» να τον χωρίσει. Ένα παιδί ζητά επίμονα να μιλήσει σε ειδικό: </w:t>
      </w:r>
      <w:r>
        <w:rPr>
          <w:i/>
          <w:lang w:val="el-GR"/>
        </w:rPr>
        <w:t>«πότε θα τα πω εγώ;»</w:t>
      </w:r>
      <w:r>
        <w:rPr>
          <w:lang w:val="el-GR"/>
        </w:rPr>
        <w:t xml:space="preserve">. Η φωνή των παιδιών μπορεί να γίνει δύναμη αλλαγής, δεν πρέπει όμως να μετατρέπεται σε νέα </w:t>
      </w:r>
      <w:proofErr w:type="spellStart"/>
      <w:r>
        <w:rPr>
          <w:lang w:val="el-GR"/>
        </w:rPr>
        <w:t>γονεοποίηση</w:t>
      </w:r>
      <w:proofErr w:type="spellEnd"/>
      <w:r>
        <w:rPr>
          <w:lang w:val="el-GR"/>
        </w:rPr>
        <w:t>: το παιδί δεν οφείλει να αποδείξει τη βία ή να αποφασίσει για λογαριασμό των ενηλίκων.</w:t>
      </w:r>
    </w:p>
    <w:p w14:paraId="580EEA4B" w14:textId="77777777" w:rsidR="00E63D5B" w:rsidRPr="00132066" w:rsidRDefault="001F059D">
      <w:pPr>
        <w:pStyle w:val="20"/>
        <w:rPr>
          <w:lang w:val="el-GR"/>
        </w:rPr>
      </w:pPr>
      <w:bookmarkStart w:id="54" w:name="_Toc242134459"/>
      <w:r>
        <w:rPr>
          <w:lang w:val="el-GR"/>
        </w:rPr>
        <w:t xml:space="preserve">7.7 Θέμα 6: «Να τους δώσω ό,τι δεν είχα»: η μητρότητα ως επανόρθωση και </w:t>
      </w:r>
      <w:proofErr w:type="spellStart"/>
      <w:r>
        <w:rPr>
          <w:lang w:val="el-GR"/>
        </w:rPr>
        <w:t>υπερευθύνη</w:t>
      </w:r>
      <w:bookmarkEnd w:id="54"/>
      <w:proofErr w:type="spellEnd"/>
    </w:p>
    <w:p w14:paraId="4F3F2B98" w14:textId="77777777" w:rsidR="00E63D5B" w:rsidRPr="00132066" w:rsidRDefault="001F059D">
      <w:pPr>
        <w:rPr>
          <w:lang w:val="el-GR"/>
        </w:rPr>
      </w:pPr>
      <w:r>
        <w:rPr>
          <w:lang w:val="el-GR"/>
        </w:rPr>
        <w:t xml:space="preserve">Η μητρότητα αναδείχθηκε ως κεντρικός τόπος διαπραγμάτευσης της </w:t>
      </w:r>
      <w:proofErr w:type="spellStart"/>
      <w:r>
        <w:rPr>
          <w:lang w:val="el-GR"/>
        </w:rPr>
        <w:t>διαγενεακής</w:t>
      </w:r>
      <w:proofErr w:type="spellEnd"/>
      <w:r>
        <w:rPr>
          <w:lang w:val="el-GR"/>
        </w:rPr>
        <w:t xml:space="preserve"> κληρονομιάς.</w:t>
      </w:r>
    </w:p>
    <w:p w14:paraId="457832B8" w14:textId="77777777" w:rsidR="00E63D5B" w:rsidRPr="00132066" w:rsidRDefault="001F059D">
      <w:pPr>
        <w:pStyle w:val="3"/>
        <w:rPr>
          <w:lang w:val="el-GR"/>
        </w:rPr>
      </w:pPr>
      <w:r>
        <w:rPr>
          <w:lang w:val="el-GR"/>
        </w:rPr>
        <w:t>Επανορθωτική γονεϊκότητα</w:t>
      </w:r>
    </w:p>
    <w:p w14:paraId="2F3EA824" w14:textId="77777777" w:rsidR="00E63D5B" w:rsidRPr="00132066" w:rsidRDefault="001F059D">
      <w:pPr>
        <w:rPr>
          <w:lang w:val="el-GR"/>
        </w:rPr>
      </w:pPr>
      <w:r>
        <w:rPr>
          <w:lang w:val="el-GR"/>
        </w:rPr>
        <w:t xml:space="preserve">Οι μητέρες προσπαθούν συνειδητά να προσφέρουν στα παιδιά τους όσα οι ίδιες στερήθηκαν: τρυφερότητα, παρουσία, διάλογο, ανεμελιά. Η αγάπη προς τα παιδιά γίνεται τρόπος να δοθεί αναδρομικά νόημα στη δική τους στέρηση. Η προσπάθεια αυτή είναι μια μορφή </w:t>
      </w:r>
      <w:proofErr w:type="spellStart"/>
      <w:r>
        <w:rPr>
          <w:lang w:val="el-GR"/>
        </w:rPr>
        <w:t>διαγενεακής</w:t>
      </w:r>
      <w:proofErr w:type="spellEnd"/>
      <w:r>
        <w:rPr>
          <w:lang w:val="el-GR"/>
        </w:rPr>
        <w:t xml:space="preserve"> διαφοροποίησης, χωρίς απόρριψη της προηγούμενης γενιάς («χωρίς να το θέλει» η μητέρα τους). Μία γυναίκα (Σ11) περιγράφει ότι πέρασε στον αντίποδα της δικής της ανατροφής: λέει στα παιδιά της «σας αγαπώ» πρωί και βράδυ, επειδή η ίδια δεν το άκουσε ποτέ και νιώθει την ανάγκη να το πει, με την πεποίθηση ότι η αγάπη ποτέ δεν βλάπτει, ενώ η αδιαφορία βλάπτει.</w:t>
      </w:r>
    </w:p>
    <w:p w14:paraId="11C54B1E" w14:textId="77777777" w:rsidR="00E63D5B" w:rsidRPr="00132066" w:rsidRDefault="001F059D">
      <w:pPr>
        <w:rPr>
          <w:lang w:val="el-GR"/>
        </w:rPr>
      </w:pPr>
      <w:r>
        <w:rPr>
          <w:lang w:val="el-GR"/>
        </w:rPr>
        <w:t xml:space="preserve">Ορισμένες μητέρες αναγνωρίζουν με ειλικρίνεια ότι η ένταση του σπιτιού εισέρχεται στη σχέση με τα παιδιά: πίεση για τη σχολική επίδοση (η Σ6 αναγνωρίζει εκ των υστέρων ότι ασκούσε και η ίδια βία στο παιδί της για το διάβασμα), φωνές που το παιδί υιοθετεί. Οι αφηγήσεις αυτές δεν εξισώνουν τη μητέρα με τον δράστη. Δείχνουν πώς η παρατεταμένη απειλή και η εξάντληση περιορίζουν τη ρύθμιση των συναισθημάτων. Η αναγνώρισή τους είναι ένδειξη </w:t>
      </w:r>
      <w:proofErr w:type="spellStart"/>
      <w:r>
        <w:rPr>
          <w:lang w:val="el-GR"/>
        </w:rPr>
        <w:t>αναστοχαστικής</w:t>
      </w:r>
      <w:proofErr w:type="spellEnd"/>
      <w:r>
        <w:rPr>
          <w:lang w:val="el-GR"/>
        </w:rPr>
        <w:t xml:space="preserve"> ικανότητας και σημείο παρέμβασης, όχι τεκμήριο υπαιτιότητας.</w:t>
      </w:r>
    </w:p>
    <w:p w14:paraId="58DF6FCD" w14:textId="77777777" w:rsidR="00E63D5B" w:rsidRPr="00132066" w:rsidRDefault="001F059D">
      <w:pPr>
        <w:pStyle w:val="3"/>
        <w:rPr>
          <w:lang w:val="el-GR"/>
        </w:rPr>
      </w:pPr>
      <w:r>
        <w:rPr>
          <w:lang w:val="el-GR"/>
        </w:rPr>
        <w:lastRenderedPageBreak/>
        <w:t xml:space="preserve">Υπερπροστασία, παραμέληση του εαυτού και </w:t>
      </w:r>
      <w:proofErr w:type="spellStart"/>
      <w:r>
        <w:rPr>
          <w:lang w:val="el-GR"/>
        </w:rPr>
        <w:t>υπερευθύνη</w:t>
      </w:r>
      <w:proofErr w:type="spellEnd"/>
    </w:p>
    <w:p w14:paraId="0ED0E444" w14:textId="77777777" w:rsidR="00E63D5B" w:rsidRPr="00132066" w:rsidRDefault="001F059D">
      <w:pPr>
        <w:rPr>
          <w:lang w:val="el-GR"/>
        </w:rPr>
      </w:pPr>
      <w:r>
        <w:rPr>
          <w:lang w:val="el-GR"/>
        </w:rPr>
        <w:t xml:space="preserve">Η επανορθωτική πρόθεση μπορεί να γίνει υπερβολική επιτήρηση ή αυτοκατάργηση: η Σ6 δεν άφησε ποτέ τα παιδιά της μόνα, παραμελώντας όμως τον εαυτό της, και η Σ7 προτιμά να πεινάσει η ίδια ώστε να μη λείψει το φαγητό από το παιδί. Η αυτοθυσία λειτουργεί συχνά και ως μηχανισμός επιβίωσης της ίδιας της μητέρας, δημιουργώντας έναν στενά δεμένο πυρήνα ασφάλειας. Συνδέεται όμως και με το </w:t>
      </w:r>
      <w:proofErr w:type="spellStart"/>
      <w:r>
        <w:rPr>
          <w:lang w:val="el-GR"/>
        </w:rPr>
        <w:t>έμφυλο</w:t>
      </w:r>
      <w:proofErr w:type="spellEnd"/>
      <w:r>
        <w:rPr>
          <w:lang w:val="el-GR"/>
        </w:rPr>
        <w:t xml:space="preserve"> πρότυπο της μητέρας που οφείλει να καλύπτει μόνη όλες τις ανάγκες. Η διακοπή της μετάδοσης δεν μπορεί να στηρίζεται στην εξάντληση των μητέρων. Προϋποθέτει υλική υποστήριξη και κατανομή της ευθύνης σε ένα ευρύτερο δίκτυο.</w:t>
      </w:r>
    </w:p>
    <w:p w14:paraId="7ED1C18B" w14:textId="77777777" w:rsidR="00E63D5B" w:rsidRPr="00132066" w:rsidRDefault="001F059D">
      <w:pPr>
        <w:pStyle w:val="3"/>
        <w:rPr>
          <w:lang w:val="el-GR"/>
        </w:rPr>
      </w:pPr>
      <w:r>
        <w:rPr>
          <w:lang w:val="el-GR"/>
        </w:rPr>
        <w:t>Ο φόβος μήπως «μεταδοθεί» το τραύμα</w:t>
      </w:r>
    </w:p>
    <w:p w14:paraId="4FFADE37" w14:textId="77777777" w:rsidR="00E63D5B" w:rsidRPr="00132066" w:rsidRDefault="001F059D">
      <w:pPr>
        <w:rPr>
          <w:lang w:val="el-GR"/>
        </w:rPr>
      </w:pPr>
      <w:r>
        <w:rPr>
          <w:lang w:val="el-GR"/>
        </w:rPr>
        <w:t xml:space="preserve">Οι μητέρες φοβούνται ότι ο θυμός του γιου είναι μίμηση του πατέρα και θα εξελιχθεί σε βία. Αναρωτιούνται </w:t>
      </w:r>
      <w:r>
        <w:rPr>
          <w:i/>
          <w:lang w:val="el-GR"/>
        </w:rPr>
        <w:t>«αν εί</w:t>
      </w:r>
      <w:r>
        <w:rPr>
          <w:lang w:val="el-GR"/>
        </w:rPr>
        <w:t xml:space="preserve">ναι δικό μου ή του πατέρα του». Μία εκφράζει τη λαϊκή αντίληψη ότι το τραύμα </w:t>
      </w:r>
      <w:r>
        <w:rPr>
          <w:i/>
          <w:lang w:val="el-GR"/>
        </w:rPr>
        <w:t xml:space="preserve">«περνάει στο </w:t>
      </w:r>
      <w:r>
        <w:rPr>
          <w:i/>
        </w:rPr>
        <w:t>DNA</w:t>
      </w:r>
      <w:r>
        <w:rPr>
          <w:i/>
          <w:lang w:val="el-GR"/>
        </w:rPr>
        <w:t>»</w:t>
      </w:r>
      <w:r>
        <w:rPr>
          <w:lang w:val="el-GR"/>
        </w:rPr>
        <w:t xml:space="preserve">, αλλά τελικά δίνει βάρος στο περιβάλλον. Η Σ15 φοβάται για τον γιο της, επειδή έχει θυμό και νιώθει ότι αντιγράφει τον πατέρα του, χωρίς να μπορεί να ξεχωρίσει αν ο θυμός αυτός είναι αντιγραφή ή δικός του. Μία μετανάστρια εκφράζει ανακούφιση που το παιδί της είναι αγόρι, γιατί μια κόρη θα αναπαρήγαγε σχεδόν βέβαια τη </w:t>
      </w:r>
      <w:proofErr w:type="spellStart"/>
      <w:r>
        <w:rPr>
          <w:lang w:val="el-GR"/>
        </w:rPr>
        <w:t>θυματοποίησή</w:t>
      </w:r>
      <w:proofErr w:type="spellEnd"/>
      <w:r>
        <w:rPr>
          <w:lang w:val="el-GR"/>
        </w:rPr>
        <w:t xml:space="preserve"> της.</w:t>
      </w:r>
    </w:p>
    <w:p w14:paraId="662BD366" w14:textId="77777777" w:rsidR="00E63D5B" w:rsidRPr="00132066" w:rsidRDefault="001F059D">
      <w:pPr>
        <w:rPr>
          <w:lang w:val="el-GR"/>
        </w:rPr>
      </w:pPr>
      <w:r>
        <w:rPr>
          <w:lang w:val="el-GR"/>
        </w:rPr>
        <w:t xml:space="preserve">Τα παιδιά αποτέλεσαν ισχυρό κίνητρο αναγνώρισης της βίας και αποχώρησης, ιδίως όταν η βία μετατοπίστηκε προς εκείνα. Όπως παραδέχεται η Σ15, μια γυναίκα, αν είναι μόνη, μπορεί να </w:t>
      </w:r>
      <w:r>
        <w:rPr>
          <w:i/>
          <w:lang w:val="el-GR"/>
        </w:rPr>
        <w:t>«δεχτεί παραπάνω πράγματα».</w:t>
      </w:r>
      <w:r>
        <w:rPr>
          <w:lang w:val="el-GR"/>
        </w:rPr>
        <w:t xml:space="preserve"> Η επώδυνη πορεία της φυγής επιβεβαιώνεται εκ των υστέρων από τα ίδια τα παιδιά. Η ανάλυση, ωστόσο, αποφεύγει την προσδοκία ότι οι μητέρες θα μπορέσουν να φύγουν </w:t>
      </w:r>
      <w:r>
        <w:rPr>
          <w:i/>
          <w:lang w:val="el-GR"/>
        </w:rPr>
        <w:t>«επειδή έχει παιδιά»</w:t>
      </w:r>
      <w:r>
        <w:rPr>
          <w:lang w:val="el-GR"/>
        </w:rPr>
        <w:t>: η προστατευτική πρόθεση χρειάζεται να συναντήσει πραγματικές δυνατότητες ασφάλειας, στέγασης και στήριξης.</w:t>
      </w:r>
    </w:p>
    <w:p w14:paraId="3A59CDB7" w14:textId="77777777" w:rsidR="00E63D5B" w:rsidRPr="00132066" w:rsidRDefault="001F059D">
      <w:pPr>
        <w:pStyle w:val="20"/>
        <w:rPr>
          <w:lang w:val="el-GR"/>
        </w:rPr>
      </w:pPr>
      <w:bookmarkStart w:id="55" w:name="_Toc242134460"/>
      <w:r>
        <w:rPr>
          <w:lang w:val="el-GR"/>
        </w:rPr>
        <w:t xml:space="preserve">7.8 Θέμα 7: «Η βία δεν τελειώνει με τον χωρισμό»: έλεγχος μετά τον χωρισμό και θεσμικός </w:t>
      </w:r>
      <w:proofErr w:type="spellStart"/>
      <w:r>
        <w:rPr>
          <w:lang w:val="el-GR"/>
        </w:rPr>
        <w:t>επανατραυματισμός</w:t>
      </w:r>
      <w:bookmarkEnd w:id="55"/>
      <w:proofErr w:type="spellEnd"/>
    </w:p>
    <w:p w14:paraId="2235C145" w14:textId="77777777" w:rsidR="00E63D5B" w:rsidRPr="00132066" w:rsidRDefault="001F059D">
      <w:pPr>
        <w:rPr>
          <w:lang w:val="el-GR"/>
        </w:rPr>
      </w:pPr>
      <w:r>
        <w:rPr>
          <w:lang w:val="el-GR"/>
        </w:rPr>
        <w:t xml:space="preserve">Η αποχώρηση από την κοινή κατοικία δεν συνεπάγεται το τέλος της κακοποίησης. Η βία αλλάζει μορφή και συνεχίζεται μέσω απειλών, παρακολούθησης, οικονομικών διεκδικήσεων, αλλεπάλληλων καταγγελιών, δικαστικών διαδικασιών και ελέγχου μέσω των παιδιών. Η ανάλυση διακρίνει τη δευτερογενή </w:t>
      </w:r>
      <w:proofErr w:type="spellStart"/>
      <w:r>
        <w:rPr>
          <w:lang w:val="el-GR"/>
        </w:rPr>
        <w:t>θυματοποίηση</w:t>
      </w:r>
      <w:proofErr w:type="spellEnd"/>
      <w:r>
        <w:rPr>
          <w:lang w:val="el-GR"/>
        </w:rPr>
        <w:t xml:space="preserve"> (την πρόσθετη βλάβη από </w:t>
      </w:r>
      <w:proofErr w:type="spellStart"/>
      <w:r>
        <w:rPr>
          <w:lang w:val="el-GR"/>
        </w:rPr>
        <w:t>απαξιωτικές</w:t>
      </w:r>
      <w:proofErr w:type="spellEnd"/>
      <w:r>
        <w:rPr>
          <w:lang w:val="el-GR"/>
        </w:rPr>
        <w:t>, ενοχοποιητικές ή ανεπαρκείς θεσμικές αντιδράσεις·</w:t>
      </w:r>
      <w:r>
        <w:t>Campbell</w:t>
      </w:r>
      <w:r>
        <w:rPr>
          <w:lang w:val="el-GR"/>
        </w:rPr>
        <w:t xml:space="preserve">, 2008) από τον </w:t>
      </w:r>
      <w:proofErr w:type="spellStart"/>
      <w:r>
        <w:rPr>
          <w:lang w:val="el-GR"/>
        </w:rPr>
        <w:t>επανατραυματισμό</w:t>
      </w:r>
      <w:proofErr w:type="spellEnd"/>
      <w:r>
        <w:rPr>
          <w:lang w:val="el-GR"/>
        </w:rPr>
        <w:t xml:space="preserve"> (την </w:t>
      </w:r>
      <w:proofErr w:type="spellStart"/>
      <w:r>
        <w:rPr>
          <w:lang w:val="el-GR"/>
        </w:rPr>
        <w:t>επανενεργοποίηση</w:t>
      </w:r>
      <w:proofErr w:type="spellEnd"/>
      <w:r>
        <w:rPr>
          <w:lang w:val="el-GR"/>
        </w:rPr>
        <w:t xml:space="preserve"> του φόβου και της απώλειας ελέγχου).</w:t>
      </w:r>
    </w:p>
    <w:p w14:paraId="03443B1A" w14:textId="77777777" w:rsidR="00E63D5B" w:rsidRPr="00132066" w:rsidRDefault="001F059D">
      <w:pPr>
        <w:pStyle w:val="3"/>
        <w:rPr>
          <w:lang w:val="el-GR"/>
        </w:rPr>
      </w:pPr>
      <w:r>
        <w:rPr>
          <w:lang w:val="el-GR"/>
        </w:rPr>
        <w:t>Η συνέχιση του εξαναγκαστικού ελέγχου</w:t>
      </w:r>
    </w:p>
    <w:p w14:paraId="6B9C0F69" w14:textId="77777777" w:rsidR="00E63D5B" w:rsidRPr="00132066" w:rsidRDefault="001F059D">
      <w:pPr>
        <w:rPr>
          <w:lang w:val="el-GR"/>
        </w:rPr>
      </w:pPr>
      <w:r>
        <w:rPr>
          <w:lang w:val="el-GR"/>
        </w:rPr>
        <w:t>Ο χωρισμός μετακινεί τη βία από τον ιδιωτικό χώρο προς τα δικαστήρια, την επιμέλεια και τη δημόσια εικόνα των γυναικών (</w:t>
      </w:r>
      <w:r>
        <w:t>Spearman</w:t>
      </w:r>
      <w:r>
        <w:rPr>
          <w:lang w:val="el-GR"/>
        </w:rPr>
        <w:t xml:space="preserve"> </w:t>
      </w:r>
      <w:r>
        <w:t>et</w:t>
      </w:r>
      <w:r>
        <w:rPr>
          <w:lang w:val="el-GR"/>
        </w:rPr>
        <w:t xml:space="preserve"> </w:t>
      </w:r>
      <w:r>
        <w:t>al</w:t>
      </w:r>
      <w:r>
        <w:rPr>
          <w:lang w:val="el-GR"/>
        </w:rPr>
        <w:t>., 2024). Οι απειλές (για τη ζωή της, για τα παιδιά, για το ότι «θα τα κάψει όλα», Σ15) συνοδεύονται από παρενόχληση (εφόδους στο σπίτι και παραμονή έξω από αυτό, Σ5)</w:t>
      </w:r>
      <w:r>
        <w:rPr>
          <w:i/>
          <w:lang w:val="el-GR"/>
        </w:rPr>
        <w:t xml:space="preserve"> και από τη διάδοση της εικόνας της «τρελής»</w:t>
      </w:r>
      <w:r>
        <w:rPr>
          <w:lang w:val="el-GR"/>
        </w:rPr>
        <w:t xml:space="preserve">. Η οικονομική και νομική ανασφάλεια </w:t>
      </w:r>
      <w:proofErr w:type="spellStart"/>
      <w:r>
        <w:rPr>
          <w:lang w:val="el-GR"/>
        </w:rPr>
        <w:t>εργαλειοποιεί</w:t>
      </w:r>
      <w:proofErr w:type="spellEnd"/>
      <w:r>
        <w:rPr>
          <w:lang w:val="el-GR"/>
        </w:rPr>
        <w:t xml:space="preserve"> τη μητρότητα.</w:t>
      </w:r>
    </w:p>
    <w:p w14:paraId="5D082D79" w14:textId="77777777" w:rsidR="00E63D5B" w:rsidRPr="00132066" w:rsidRDefault="001F059D">
      <w:pPr>
        <w:pStyle w:val="3"/>
        <w:rPr>
          <w:lang w:val="el-GR"/>
        </w:rPr>
      </w:pPr>
      <w:r>
        <w:rPr>
          <w:lang w:val="el-GR"/>
        </w:rPr>
        <w:t>Τα παιδιά, η επιμέλεια και η επικοινωνία ως πεδία συνέχισης</w:t>
      </w:r>
    </w:p>
    <w:p w14:paraId="1DC57551" w14:textId="77777777" w:rsidR="00E63D5B" w:rsidRPr="00132066" w:rsidRDefault="001F059D">
      <w:pPr>
        <w:rPr>
          <w:lang w:val="el-GR"/>
        </w:rPr>
      </w:pPr>
      <w:r>
        <w:rPr>
          <w:lang w:val="el-GR"/>
        </w:rPr>
        <w:t xml:space="preserve">Οι ρυθμίσεις επιμέλειας δίνουν στον δράστη συνεχή πρόσβαση στη γυναίκα και τοποθετούν τα παιδιά σε επαναλαμβανόμενη σύγκρουση αφοσίωσης. Η καθημερινή παράδοση του παιδιού στο σχολείο γίνεται μέσο παρενόχλησης. Σε μία περίπτωση, παρά τις αναφορές των εκπαιδευτικών, το </w:t>
      </w:r>
      <w:r>
        <w:rPr>
          <w:lang w:val="el-GR"/>
        </w:rPr>
        <w:lastRenderedPageBreak/>
        <w:t>παιδί δόθηκε στον πατέρα και η μητέρα απειλήθηκε ότι θα θεωρηθεί και εκείνη κακοποιητική αν δεν κινηθεί δικαστικά. Η απόδοση «ίσης ευθύνης» στους δύο γονείς αποσυνδέει τη σύγκρουση από το ιστορικό εξουσίας και μεταφέρει στη μητέρα το βάρος να αποδεικνύει διαρκώς τον κίνδυνο. Η Σ3 περιγράφει ότι, παρότι ο βρεφικός σταθμός και τα σχολεία είχαν καταγράψει το ιστορικό και είχε γίνει αναφορά στην πρόνοια, το δικαστήριο έδωσε το παιδί στον πατέρα, και η ίδια αναγκάστηκε να κινήσει η ίδια δικαστική διαμάχη, επειδή της τέθηκε ως εναλλακτική η αφαίρεση του παιδιού από τις υπηρεσίες.</w:t>
      </w:r>
    </w:p>
    <w:p w14:paraId="3B326FA8" w14:textId="77777777" w:rsidR="00E63D5B" w:rsidRPr="00132066" w:rsidRDefault="001F059D">
      <w:pPr>
        <w:pStyle w:val="3"/>
        <w:rPr>
          <w:lang w:val="el-GR"/>
        </w:rPr>
      </w:pPr>
      <w:r>
        <w:rPr>
          <w:lang w:val="el-GR"/>
        </w:rPr>
        <w:t xml:space="preserve">Δευτερογενής </w:t>
      </w:r>
      <w:proofErr w:type="spellStart"/>
      <w:r>
        <w:rPr>
          <w:lang w:val="el-GR"/>
        </w:rPr>
        <w:t>θυματοποίηση</w:t>
      </w:r>
      <w:proofErr w:type="spellEnd"/>
      <w:r>
        <w:rPr>
          <w:lang w:val="el-GR"/>
        </w:rPr>
        <w:t xml:space="preserve"> και </w:t>
      </w:r>
      <w:proofErr w:type="spellStart"/>
      <w:r>
        <w:rPr>
          <w:lang w:val="el-GR"/>
        </w:rPr>
        <w:t>επανατραυματισμός</w:t>
      </w:r>
      <w:proofErr w:type="spellEnd"/>
      <w:r>
        <w:rPr>
          <w:lang w:val="el-GR"/>
        </w:rPr>
        <w:t xml:space="preserve"> από τις υπηρεσίες</w:t>
      </w:r>
    </w:p>
    <w:p w14:paraId="18F24199" w14:textId="77777777" w:rsidR="00E63D5B" w:rsidRPr="00132066" w:rsidRDefault="001F059D">
      <w:pPr>
        <w:rPr>
          <w:lang w:val="el-GR"/>
        </w:rPr>
      </w:pPr>
      <w:r>
        <w:rPr>
          <w:lang w:val="el-GR"/>
        </w:rPr>
        <w:t xml:space="preserve">Η εμπλοκή με το δικαστικό σύστημα έχει υψηλό οικονομικό και ψυχικό κόστος. Η ερώτηση του αστυνομικού </w:t>
      </w:r>
      <w:r>
        <w:rPr>
          <w:i/>
          <w:lang w:val="el-GR"/>
        </w:rPr>
        <w:t>«δεν το είχες καταλάβει;»</w:t>
      </w:r>
      <w:r>
        <w:rPr>
          <w:lang w:val="el-GR"/>
        </w:rPr>
        <w:t xml:space="preserve"> μεταφέρει την ευθύνη στη γυναίκα και αγνοεί τους μηχανισμούς της σταδιακής </w:t>
      </w:r>
      <w:proofErr w:type="spellStart"/>
      <w:r>
        <w:rPr>
          <w:lang w:val="el-GR"/>
        </w:rPr>
        <w:t>κανονικοποίησης</w:t>
      </w:r>
      <w:proofErr w:type="spellEnd"/>
      <w:r>
        <w:rPr>
          <w:lang w:val="el-GR"/>
        </w:rPr>
        <w:t>. Η ανισότητα πόρων απέναντι σε έναν οικονομικά ισχυρότερο αντίδικο αναπαράγει την αρχική ασυμμετρία: η Σ11 παρουσιάστηκε χωρίς δικηγόρο, ο δράστης αθωώθηκε λόγω αμφιβολιών και εκείνη έχασε την εμπιστοσύνη της στη δικαιοσύνη και «στο όλο σύστημα», ενώ η Σ3 αποφεύγει πλέον κάθε δικαστική διαδικασία, επειδή, όπως αναφέρει, «δεν υπάρχει δικαιοσύνη».</w:t>
      </w:r>
    </w:p>
    <w:p w14:paraId="20CB3B96" w14:textId="77777777" w:rsidR="00E63D5B" w:rsidRPr="00132066" w:rsidRDefault="001F059D">
      <w:pPr>
        <w:rPr>
          <w:lang w:val="el-GR"/>
        </w:rPr>
      </w:pPr>
      <w:r>
        <w:rPr>
          <w:lang w:val="el-GR"/>
        </w:rPr>
        <w:t xml:space="preserve">Αντίστοιχες εμπειρίες καταγράφονται και με τις υπηρεσίες ψυχικής υγείας και τις κοινωνικές υπηρεσίες. Η συμβουλευτική γονέων βιώνεται από μία γυναίκα ως αξιολόγηση και «τιμωρία», όπου το άγχος της </w:t>
      </w:r>
      <w:proofErr w:type="spellStart"/>
      <w:r>
        <w:rPr>
          <w:lang w:val="el-GR"/>
        </w:rPr>
        <w:t>παθολογικοποιείται</w:t>
      </w:r>
      <w:proofErr w:type="spellEnd"/>
      <w:r>
        <w:rPr>
          <w:lang w:val="el-GR"/>
        </w:rPr>
        <w:t>. Ένας επαγγελματίας, παρά την αναφορά σωματικής βίας, εστίασε στην πιθανότητα επιλόχειας κατάθλιψης και στην ανάγκη «να αλλάξει εκείνη». Η θεραπευτική εστίαση στην αλλαγή των γυναικών χωρίς αναγνώριση της ενεργής βίας αναπαράγει το μήνυμα του δράστη ότι εκείνες προκαλούν ή μπορούν να διορθώσουν τη συμπεριφορά του. Η μη καταγραφή επισκέψεων και καταθέσεων δεν είναι ουδέτερη γραφειοκρατική αστοχία: ακυρώνει θεσμικά την ύπαρξη του γεγονότος. Η Σ13 περιγράφει μια ψυχολόγο που, ενώ εκείνη της ανέφερε ότι ο σύντροφός της τη χτυπά, επέμενε στην πιθανότητα επιλόχειας κατάθλιψης και της ζητούσε να αναγνωρίσει και να αλλάξει τον εαυτό της, με το επιχείρημα ότι τότε θα άλλαζε και η δική του συμπεριφορά.</w:t>
      </w:r>
    </w:p>
    <w:p w14:paraId="2FB9BB64" w14:textId="77777777" w:rsidR="00E63D5B" w:rsidRPr="00132066" w:rsidRDefault="001F059D">
      <w:pPr>
        <w:rPr>
          <w:lang w:val="el-GR"/>
        </w:rPr>
      </w:pPr>
      <w:r>
        <w:rPr>
          <w:lang w:val="el-GR"/>
        </w:rPr>
        <w:t>Οι θετικές εμπειρίες δείχνουν τι λειτουργεί: η ψυχοθεραπεία στο ΚΕΘΙ (η Σ6 θεωρεί ότι εκεί «της έσωσαν τη ζωή»), η επαγγελματίας που γνωρίζει την ιστορία και την πιστεύει, ο αστυνομικός με ανθρώπινο τρόπο προσέγγισης, η συντονισμένη στήριξη ΚΕΘΙ–νηπιαγωγείου–ΚΕΔΑΣΥ, η διεύθυνση σχολείου που αγκαλιάζει μητέρα και παιδί, η μακροχρόνια στήριξη από ψυχολόγο του Δήμου. Ο θεσμός δεν είναι εξωτερικό πλαίσιο της αποκατάστασης. Μπορεί να γίνει μέρος είτε της τραυματικής συνέχειας είτε της διακοπής της.</w:t>
      </w:r>
    </w:p>
    <w:p w14:paraId="0356B343" w14:textId="77777777" w:rsidR="00E63D5B" w:rsidRPr="00132066" w:rsidRDefault="001F059D">
      <w:pPr>
        <w:pStyle w:val="20"/>
        <w:rPr>
          <w:lang w:val="el-GR"/>
        </w:rPr>
      </w:pPr>
      <w:bookmarkStart w:id="56" w:name="_Toc242134461"/>
      <w:r>
        <w:rPr>
          <w:lang w:val="el-GR"/>
        </w:rPr>
        <w:t xml:space="preserve">7.9 Θέμα 8: «Από την επιβίωση στην ανάκτηση της ζωής»: μη γραμμική αποκατάσταση και </w:t>
      </w:r>
      <w:proofErr w:type="spellStart"/>
      <w:r>
        <w:rPr>
          <w:lang w:val="el-GR"/>
        </w:rPr>
        <w:t>μετατραυματική</w:t>
      </w:r>
      <w:proofErr w:type="spellEnd"/>
      <w:r>
        <w:rPr>
          <w:lang w:val="el-GR"/>
        </w:rPr>
        <w:t xml:space="preserve"> ανάπτυξη</w:t>
      </w:r>
      <w:bookmarkEnd w:id="56"/>
    </w:p>
    <w:p w14:paraId="3027D334" w14:textId="77777777" w:rsidR="00E63D5B" w:rsidRPr="00132066" w:rsidRDefault="001F059D">
      <w:pPr>
        <w:rPr>
          <w:lang w:val="el-GR"/>
        </w:rPr>
      </w:pPr>
      <w:r>
        <w:rPr>
          <w:lang w:val="el-GR"/>
        </w:rPr>
        <w:t>Η αποκατάσταση δεν εμφανίζεται ως επιστροφή στην κατάσταση πριν από τη βία (</w:t>
      </w:r>
      <w:r>
        <w:t>Herman</w:t>
      </w:r>
      <w:r>
        <w:rPr>
          <w:lang w:val="el-GR"/>
        </w:rPr>
        <w:t>, 1992·</w:t>
      </w:r>
      <w:proofErr w:type="spellStart"/>
      <w:r>
        <w:t>Bryngeirsdottir</w:t>
      </w:r>
      <w:proofErr w:type="spellEnd"/>
      <w:r>
        <w:rPr>
          <w:lang w:val="el-GR"/>
        </w:rPr>
        <w:t xml:space="preserve"> </w:t>
      </w:r>
      <w:r>
        <w:t>et</w:t>
      </w:r>
      <w:r>
        <w:rPr>
          <w:lang w:val="el-GR"/>
        </w:rPr>
        <w:t xml:space="preserve"> </w:t>
      </w:r>
      <w:r>
        <w:t>al</w:t>
      </w:r>
      <w:r>
        <w:rPr>
          <w:lang w:val="el-GR"/>
        </w:rPr>
        <w:t>., 2022</w:t>
      </w:r>
      <w:r>
        <w:t>a</w:t>
      </w:r>
      <w:r>
        <w:rPr>
          <w:lang w:val="el-GR"/>
        </w:rPr>
        <w:t>). Περιλαμβάνει αμφιθυμία, υποτροπές φόβου, συνεχιζόμενες δυσκολίες και στιγμές νέας δύναμης.</w:t>
      </w:r>
    </w:p>
    <w:p w14:paraId="02DE3EC5" w14:textId="77777777" w:rsidR="00E63D5B" w:rsidRPr="00132066" w:rsidRDefault="001F059D">
      <w:pPr>
        <w:pStyle w:val="3"/>
        <w:rPr>
          <w:lang w:val="el-GR"/>
        </w:rPr>
      </w:pPr>
      <w:r>
        <w:rPr>
          <w:lang w:val="el-GR"/>
        </w:rPr>
        <w:t>Αναγνώριση και ονομασία της βίας</w:t>
      </w:r>
    </w:p>
    <w:p w14:paraId="231ACCFB" w14:textId="77777777" w:rsidR="00E63D5B" w:rsidRPr="00132066" w:rsidRDefault="001F059D">
      <w:pPr>
        <w:rPr>
          <w:lang w:val="el-GR"/>
        </w:rPr>
      </w:pPr>
      <w:r>
        <w:rPr>
          <w:lang w:val="el-GR"/>
        </w:rPr>
        <w:t xml:space="preserve">Η απεμπλοκή ξεκινά συχνά με μια απότομη γνωστική και συναισθηματική μετατόπιση, </w:t>
      </w:r>
      <w:proofErr w:type="spellStart"/>
      <w:r>
        <w:rPr>
          <w:lang w:val="el-GR"/>
        </w:rPr>
        <w:t>πυροδοτούμενη</w:t>
      </w:r>
      <w:proofErr w:type="spellEnd"/>
      <w:r>
        <w:rPr>
          <w:lang w:val="el-GR"/>
        </w:rPr>
        <w:t xml:space="preserve"> από ένα οριακό γεγονός, όπως για τη Σ12, για την οποία ο τραυματισμός του χεριού της «έσπασε» κάτι και μέσα της, ενεργοποιώντας όμως ταυτόχρονα κάτι άλλο. Η ρήξη εδραιώνεται όταν οι γυναίκες αποκτούν το λεξιλόγιο να αποκωδικοποιήσει τη βία: η εισαγωγή του όρου </w:t>
      </w:r>
      <w:r>
        <w:t>gaslighting</w:t>
      </w:r>
      <w:r>
        <w:rPr>
          <w:lang w:val="el-GR"/>
        </w:rPr>
        <w:t xml:space="preserve"> </w:t>
      </w:r>
      <w:r>
        <w:rPr>
          <w:lang w:val="el-GR"/>
        </w:rPr>
        <w:lastRenderedPageBreak/>
        <w:t xml:space="preserve">από το περιβάλλον της επέτρεψε σε μία συμμετέχουσα να δει τη σύγχυσή της ως αναμενόμενο αποτέλεσμα της κακοποίησης και όχι ως προσωπική ανεπάρκεια. Η Σ13 περιγράφει ότι, όταν ένα οικείο πρόσωπο της ζήτησε να δει ορισμένα πράγματα ως </w:t>
      </w:r>
      <w:proofErr w:type="spellStart"/>
      <w:r>
        <w:rPr>
          <w:lang w:val="el-GR"/>
        </w:rPr>
        <w:t>gaslighting</w:t>
      </w:r>
      <w:proofErr w:type="spellEnd"/>
      <w:r>
        <w:rPr>
          <w:lang w:val="el-GR"/>
        </w:rPr>
        <w:t>, δεν γνώριζε καν τον όρο. Είχε αρχίσει να μπερδεύει τις πραγματικότητες, να αμφισβητεί ό,τι είχε συμβεί και να αναρωτιέται μήπως έφταιγε η ίδια.</w:t>
      </w:r>
    </w:p>
    <w:p w14:paraId="5636829D" w14:textId="77777777" w:rsidR="00E63D5B" w:rsidRPr="00132066" w:rsidRDefault="001F059D">
      <w:pPr>
        <w:pStyle w:val="3"/>
        <w:rPr>
          <w:lang w:val="el-GR"/>
        </w:rPr>
      </w:pPr>
      <w:r>
        <w:rPr>
          <w:lang w:val="el-GR"/>
        </w:rPr>
        <w:t>Ασφάλεια, υποστηρικτικές σχέσεις και θεραπεία</w:t>
      </w:r>
    </w:p>
    <w:p w14:paraId="043DB22E" w14:textId="77777777" w:rsidR="00E63D5B" w:rsidRPr="00132066" w:rsidRDefault="001F059D">
      <w:pPr>
        <w:rPr>
          <w:lang w:val="el-GR"/>
        </w:rPr>
      </w:pPr>
      <w:r>
        <w:rPr>
          <w:lang w:val="el-GR"/>
        </w:rPr>
        <w:t>Η αποκατάσταση ενισχύεται όταν η υποστήριξη είναι σταθερή, πρακτική και μη ενοχοποιητική: οικογένεια που φιλοξενεί, συνάδελφοι που κινητοποιούνται, φίλες, σύντροφος. Η θεραπευτική σχέση λειτουργεί ως νέος σχεσιακός τόπος: για τη Σ5 είναι «πολύ λυτρωτικό» να ξέρει ότι κάποιος θα την ακούσει και θα την πιστέψει, ενώ η Σ2 βρήκε έναν άνθρωπο να μιλήσει που δεν ήταν ούτε φίλος ούτε οικογένεια, ώστε να μη γίνεται βάρος σε κανέναν. Επιτρέπει εξάρτηση χωρίς έλεγχο, εγγύτητα χωρίς εκμετάλλευση.</w:t>
      </w:r>
    </w:p>
    <w:p w14:paraId="4DE94CD3" w14:textId="77777777" w:rsidR="00E63D5B" w:rsidRPr="00132066" w:rsidRDefault="001F059D">
      <w:pPr>
        <w:pStyle w:val="3"/>
        <w:rPr>
          <w:lang w:val="el-GR"/>
        </w:rPr>
      </w:pPr>
      <w:r>
        <w:rPr>
          <w:lang w:val="el-GR"/>
        </w:rPr>
        <w:t>Ανάκτηση της αυτενέργειας και φροντίδα του εαυτού</w:t>
      </w:r>
    </w:p>
    <w:p w14:paraId="0A352AC0" w14:textId="77777777" w:rsidR="00E63D5B" w:rsidRPr="00132066" w:rsidRDefault="001F059D">
      <w:pPr>
        <w:rPr>
          <w:lang w:val="el-GR"/>
        </w:rPr>
      </w:pPr>
      <w:r>
        <w:rPr>
          <w:lang w:val="el-GR"/>
        </w:rPr>
        <w:t>Η οικονομική αυτονομία αναδεικνύεται κεντρική: η προληπτική δημιουργία ενός «κομποδέματος» ενόσω οι γυναίκες ήταν ακόμη στη σχέση, η θέση ότι η γυναίκα δεν πρέπει να εξαρτάται διαρκώς από τον άντρα της (Σ16), το όραμα μιας ζωής με ηρεμία πριν από οποιαδήποτε νέα σχέση. Η μετατόπιση από τη διά βίου φροντίδα των άλλων προς τον εαυτό είναι νηφάλια, όχι εξιδανικευμένη. Η Σ11 δεν αισθάνεται ευτυχής, ξέρει όμως σε ποιο στάδιο βρίσκεται και ότι πρέπει πλέον να φροντίσει τον εαυτό της. Η Σ2 περιγράφει ότι είχε κάνει «τα κουμάντα της» ώστε να μην εξαρτάται οικονομικά από εκείνον: έκανε οικονομίες, διατηρούσε πάντα ένα «κομπόδεμα» και είχε πάντα στο μυαλό της ότι κάποια στιγμή όλα μπορεί να καταρρεύσουν.</w:t>
      </w:r>
    </w:p>
    <w:p w14:paraId="34B5B109" w14:textId="77777777" w:rsidR="00E63D5B" w:rsidRPr="00132066" w:rsidRDefault="001F059D">
      <w:pPr>
        <w:pStyle w:val="3"/>
        <w:rPr>
          <w:lang w:val="el-GR"/>
        </w:rPr>
      </w:pPr>
      <w:proofErr w:type="spellStart"/>
      <w:r>
        <w:rPr>
          <w:lang w:val="el-GR"/>
        </w:rPr>
        <w:t>Μετατραυματική</w:t>
      </w:r>
      <w:proofErr w:type="spellEnd"/>
      <w:r>
        <w:rPr>
          <w:lang w:val="el-GR"/>
        </w:rPr>
        <w:t xml:space="preserve"> ανάπτυξη και νέα </w:t>
      </w:r>
      <w:proofErr w:type="spellStart"/>
      <w:r>
        <w:rPr>
          <w:lang w:val="el-GR"/>
        </w:rPr>
        <w:t>νοηματοδότηση</w:t>
      </w:r>
      <w:proofErr w:type="spellEnd"/>
    </w:p>
    <w:p w14:paraId="39558355" w14:textId="77777777" w:rsidR="00E63D5B" w:rsidRPr="00132066" w:rsidRDefault="001F059D">
      <w:pPr>
        <w:rPr>
          <w:lang w:val="el-GR"/>
        </w:rPr>
      </w:pPr>
      <w:r>
        <w:rPr>
          <w:lang w:val="el-GR"/>
        </w:rPr>
        <w:t>Πολλές περιγράφουν την ανάπτυξη ως «επιστροφή» σε μια προγενέστερη, αυθεντική εκδοχή του εαυτού που είχε διαβρωθεί: η Σ2 βρήκε «τον χαμένο της εαυτό», εκείνον πριν από τον γάμο, και η Σ6 «τον παλιό της εαυτό».</w:t>
      </w:r>
      <w:r>
        <w:rPr>
          <w:i/>
          <w:lang w:val="el-GR"/>
        </w:rPr>
        <w:t xml:space="preserve"> </w:t>
      </w:r>
      <w:r>
        <w:rPr>
          <w:lang w:val="el-GR"/>
        </w:rPr>
        <w:t>Άλλες αξιολογούν θετικά τις αλλαγές</w:t>
      </w:r>
      <w:r>
        <w:rPr>
          <w:i/>
          <w:lang w:val="el-GR"/>
        </w:rPr>
        <w:t xml:space="preserve"> («σαν να ξύπνησα», </w:t>
      </w:r>
      <w:r>
        <w:rPr>
          <w:lang w:val="el-GR"/>
        </w:rPr>
        <w:t>Σ14</w:t>
      </w:r>
      <w:r>
        <w:rPr>
          <w:i/>
          <w:lang w:val="el-GR"/>
        </w:rPr>
        <w:t>), με την επιφύλαξη «δεν ξέρω αν όλες οι γυναίκες νιώθουν έτσι»</w:t>
      </w:r>
      <w:r>
        <w:rPr>
          <w:lang w:val="el-GR"/>
        </w:rPr>
        <w:t xml:space="preserve">. Η θετική </w:t>
      </w:r>
      <w:proofErr w:type="spellStart"/>
      <w:r>
        <w:rPr>
          <w:lang w:val="el-GR"/>
        </w:rPr>
        <w:t>νοηματοδότηση</w:t>
      </w:r>
      <w:proofErr w:type="spellEnd"/>
      <w:r>
        <w:rPr>
          <w:lang w:val="el-GR"/>
        </w:rPr>
        <w:t xml:space="preserve"> δεν αναιρεί τη βλάβη ούτε σημαίνει ότι η βία ήταν αναγκαία (</w:t>
      </w:r>
      <w:r>
        <w:t>Tedeschi</w:t>
      </w:r>
      <w:r>
        <w:rPr>
          <w:lang w:val="el-GR"/>
        </w:rPr>
        <w:t xml:space="preserve"> &amp; </w:t>
      </w:r>
      <w:r>
        <w:t>Calhoun</w:t>
      </w:r>
      <w:r>
        <w:rPr>
          <w:lang w:val="el-GR"/>
        </w:rPr>
        <w:t>, 2004).</w:t>
      </w:r>
    </w:p>
    <w:p w14:paraId="209C1E49" w14:textId="77777777" w:rsidR="00E63D5B" w:rsidRPr="00132066" w:rsidRDefault="001F059D">
      <w:pPr>
        <w:rPr>
          <w:lang w:val="el-GR"/>
        </w:rPr>
      </w:pPr>
      <w:r>
        <w:rPr>
          <w:lang w:val="el-GR"/>
        </w:rPr>
        <w:t>Οι αναμνήσεις εξακολουθούν να πονούν, αλλά δεν καταλαμβάνουν πλέον ολόκληρο τον ορίζοντα. Μία γυναίκα δεν ξέρει αν θα ξεπεράσει ποτέ όσα έζησε, παρότι έχει φύγει και ξέρει ότι έκανε το σωστό. Ανάπτυξη και τραύμα δεν είναι αντίθετα άκρα. Συνυπάρχουν στην ίδια αφήγηση: η Σ5 νιώθει ότι έγινε «πιο δυνατή», έχει τα πολύ χαμηλά της σημεία, βρίσκει όμως τρόπο να αντλεί δύναμη.</w:t>
      </w:r>
    </w:p>
    <w:p w14:paraId="20429829" w14:textId="77777777" w:rsidR="00E63D5B" w:rsidRPr="00132066" w:rsidRDefault="001F059D">
      <w:pPr>
        <w:rPr>
          <w:lang w:val="el-GR"/>
        </w:rPr>
      </w:pPr>
      <w:r>
        <w:rPr>
          <w:lang w:val="el-GR"/>
        </w:rPr>
        <w:t>Η εμπειρία μετατρέπεται σε επιθυμία υποστήριξης άλλων γυναικών και αλλαγής των υπηρεσιών. Οι γυναίκες συνδέουν ρητά τη συμμετοχή τους στην έρευνα με την ελπίδα ότι ο δημόσιος λόγος θα αφυπνίσει άλλες: η ιστορία δεν διαγράφεται, προσφέρεται ως εργαλείο πρόληψης, ώστε καμία άλλη γυναίκα να μην παραμείνει αόρατη στη σιωπή της.</w:t>
      </w:r>
    </w:p>
    <w:p w14:paraId="35D414DE" w14:textId="77777777" w:rsidR="00E63D5B" w:rsidRPr="00132066" w:rsidRDefault="001F059D">
      <w:pPr>
        <w:pStyle w:val="20"/>
        <w:rPr>
          <w:lang w:val="el-GR"/>
        </w:rPr>
      </w:pPr>
      <w:bookmarkStart w:id="57" w:name="_Toc242134462"/>
      <w:r>
        <w:rPr>
          <w:lang w:val="el-GR"/>
        </w:rPr>
        <w:t>7.10 Θέμα 9: Από το βίωμα στη συλλογική αλλαγή: οι προτάσεις των ίδιων των γυναικών</w:t>
      </w:r>
      <w:bookmarkEnd w:id="57"/>
    </w:p>
    <w:p w14:paraId="2431566D" w14:textId="77777777" w:rsidR="00E63D5B" w:rsidRDefault="001F059D">
      <w:r>
        <w:rPr>
          <w:lang w:val="el-GR"/>
        </w:rPr>
        <w:t xml:space="preserve">Το ένατο θέμα συγκεντρώνει τις προτάσεις που διατύπωσαν οι ίδιες οι συμμετέχουσες. Δεν περιορίζονται στην προτροπή «να φύγει η γυναίκα». Αναδεικνύουν την ανάγκη υλικής ασφάλειας, </w:t>
      </w:r>
      <w:r>
        <w:rPr>
          <w:lang w:val="el-GR"/>
        </w:rPr>
        <w:lastRenderedPageBreak/>
        <w:t xml:space="preserve">μακροχρόνιας θεραπείας, προστασίας των παιδιών, λογοδοσίας των δραστών και συντονισμένων υπηρεσιών. Παρουσιάζονται αναλυτικά, μαζί με τις προτάσεις της ερευνητικής ομάδας, στο Κεφάλαιο 10. </w:t>
      </w:r>
      <w:proofErr w:type="spellStart"/>
      <w:r>
        <w:t>Συνο</w:t>
      </w:r>
      <w:proofErr w:type="spellEnd"/>
      <w:r>
        <w:t xml:space="preserve">πτικά, </w:t>
      </w:r>
      <w:proofErr w:type="spellStart"/>
      <w:r>
        <w:t>οι</w:t>
      </w:r>
      <w:proofErr w:type="spellEnd"/>
      <w:r>
        <w:t xml:space="preserve"> </w:t>
      </w:r>
      <w:proofErr w:type="spellStart"/>
      <w:r>
        <w:t>γυν</w:t>
      </w:r>
      <w:proofErr w:type="spellEnd"/>
      <w:r>
        <w:t xml:space="preserve">αίκες </w:t>
      </w:r>
      <w:proofErr w:type="spellStart"/>
      <w:r>
        <w:t>ζητούν</w:t>
      </w:r>
      <w:proofErr w:type="spellEnd"/>
      <w:r>
        <w:t>:</w:t>
      </w:r>
    </w:p>
    <w:p w14:paraId="13CD5BE8" w14:textId="77777777" w:rsidR="00E63D5B" w:rsidRPr="00132066" w:rsidRDefault="001F059D">
      <w:pPr>
        <w:numPr>
          <w:ilvl w:val="0"/>
          <w:numId w:val="1"/>
        </w:numPr>
        <w:pBdr>
          <w:top w:val="nil"/>
          <w:left w:val="nil"/>
          <w:bottom w:val="nil"/>
          <w:right w:val="nil"/>
          <w:between w:val="nil"/>
        </w:pBdr>
        <w:spacing w:after="0"/>
        <w:jc w:val="left"/>
        <w:rPr>
          <w:lang w:val="el-GR"/>
        </w:rPr>
      </w:pPr>
      <w:r>
        <w:rPr>
          <w:color w:val="000000"/>
          <w:lang w:val="el-GR"/>
        </w:rPr>
        <w:t>Έγκαιρη αναγνώριση της βίας και ενίσχυση της αυτενέργειας: να απομυθοποιηθεί «το βίαιο ως γοητευτικό» (Σ4), να πάψει να μετρά «τι θα πει ο κόσμος» (Σ2) και να μην ταυτίζεται η γυναίκα με τη συζυγική ζωή (Σ16).</w:t>
      </w:r>
    </w:p>
    <w:p w14:paraId="484B919F" w14:textId="77939140" w:rsidR="00E63D5B" w:rsidRPr="000B7AA5" w:rsidRDefault="001F059D">
      <w:pPr>
        <w:numPr>
          <w:ilvl w:val="0"/>
          <w:numId w:val="1"/>
        </w:numPr>
        <w:pBdr>
          <w:top w:val="nil"/>
          <w:left w:val="nil"/>
          <w:bottom w:val="nil"/>
          <w:right w:val="nil"/>
          <w:between w:val="nil"/>
        </w:pBdr>
        <w:spacing w:after="0"/>
        <w:jc w:val="left"/>
        <w:rPr>
          <w:lang w:val="el-GR"/>
        </w:rPr>
      </w:pPr>
      <w:r>
        <w:rPr>
          <w:color w:val="000000"/>
          <w:lang w:val="el-GR"/>
        </w:rPr>
        <w:t>Μακροχρόνια, εξατομικευμένη υποστήριξη: περισσότερες συνεδρίες, όχι μόνο δώδεκα, γιατί, όπως το θέτει η Σ2, ψυχολόγο «χρειαζόμαστε για πάντα»</w:t>
      </w:r>
      <w:r w:rsidRPr="000B7AA5">
        <w:rPr>
          <w:color w:val="000000"/>
          <w:lang w:val="el-GR"/>
        </w:rPr>
        <w:t>.</w:t>
      </w:r>
    </w:p>
    <w:p w14:paraId="161E5F66" w14:textId="77777777" w:rsidR="00E63D5B" w:rsidRPr="006D6BD7" w:rsidRDefault="001F059D">
      <w:pPr>
        <w:numPr>
          <w:ilvl w:val="0"/>
          <w:numId w:val="1"/>
        </w:numPr>
        <w:pBdr>
          <w:top w:val="nil"/>
          <w:left w:val="nil"/>
          <w:bottom w:val="nil"/>
          <w:right w:val="nil"/>
          <w:between w:val="nil"/>
        </w:pBdr>
        <w:spacing w:after="0"/>
        <w:jc w:val="left"/>
        <w:rPr>
          <w:lang w:val="el-GR"/>
        </w:rPr>
      </w:pPr>
      <w:r>
        <w:rPr>
          <w:color w:val="000000"/>
          <w:lang w:val="el-GR"/>
        </w:rPr>
        <w:t>Έγκαιρη υποστήριξη και προστασία των παιδιών: τα παιδιά να ξέρουν ότι μπορούν να μιλήσουν και έξω από το σπίτι. Οι εμπειρίες αυτές να μοιράζονται με τα παιδιά, ώστε να είναι έτοιμα να αμυνθούν (Σ12).</w:t>
      </w:r>
    </w:p>
    <w:p w14:paraId="263E8F58" w14:textId="77777777" w:rsidR="00E63D5B" w:rsidRPr="00132066" w:rsidRDefault="001F059D">
      <w:pPr>
        <w:numPr>
          <w:ilvl w:val="0"/>
          <w:numId w:val="1"/>
        </w:numPr>
        <w:pBdr>
          <w:top w:val="nil"/>
          <w:left w:val="nil"/>
          <w:bottom w:val="nil"/>
          <w:right w:val="nil"/>
          <w:between w:val="nil"/>
        </w:pBdr>
        <w:spacing w:after="0"/>
        <w:jc w:val="left"/>
        <w:rPr>
          <w:lang w:val="el-GR"/>
        </w:rPr>
      </w:pPr>
      <w:r>
        <w:rPr>
          <w:color w:val="000000"/>
          <w:lang w:val="el-GR"/>
        </w:rPr>
        <w:t>Λογοδοσία και θεραπεία για τους δράστες, με σαφή όρια στην επικοινωνία με τα παιδιά.</w:t>
      </w:r>
    </w:p>
    <w:p w14:paraId="490DDACA" w14:textId="77777777" w:rsidR="00E63D5B" w:rsidRPr="00132066" w:rsidRDefault="001F059D">
      <w:pPr>
        <w:numPr>
          <w:ilvl w:val="0"/>
          <w:numId w:val="1"/>
        </w:numPr>
        <w:pBdr>
          <w:top w:val="nil"/>
          <w:left w:val="nil"/>
          <w:bottom w:val="nil"/>
          <w:right w:val="nil"/>
          <w:between w:val="nil"/>
        </w:pBdr>
        <w:spacing w:after="0"/>
        <w:jc w:val="left"/>
        <w:rPr>
          <w:lang w:val="el-GR"/>
        </w:rPr>
      </w:pPr>
      <w:r>
        <w:rPr>
          <w:color w:val="000000"/>
          <w:lang w:val="el-GR"/>
        </w:rPr>
        <w:t xml:space="preserve">Εκπαίδευση και ψυχολόγους στα σχολεία: τρεις ψυχολόγοι σε κάθε σχολείο, κατά τη Σ1, αλλαγή των </w:t>
      </w:r>
      <w:proofErr w:type="spellStart"/>
      <w:r>
        <w:rPr>
          <w:color w:val="000000"/>
          <w:lang w:val="el-GR"/>
        </w:rPr>
        <w:t>γονεϊκών</w:t>
      </w:r>
      <w:proofErr w:type="spellEnd"/>
      <w:r>
        <w:rPr>
          <w:color w:val="000000"/>
          <w:lang w:val="el-GR"/>
        </w:rPr>
        <w:t xml:space="preserve"> και πολιτισμικών αντιλήψεων.</w:t>
      </w:r>
    </w:p>
    <w:p w14:paraId="338F5D96" w14:textId="77777777" w:rsidR="00E63D5B" w:rsidRPr="00132066" w:rsidRDefault="001F059D">
      <w:pPr>
        <w:numPr>
          <w:ilvl w:val="0"/>
          <w:numId w:val="1"/>
        </w:numPr>
        <w:pBdr>
          <w:top w:val="nil"/>
          <w:left w:val="nil"/>
          <w:bottom w:val="nil"/>
          <w:right w:val="nil"/>
          <w:between w:val="nil"/>
        </w:pBdr>
        <w:spacing w:after="60"/>
        <w:jc w:val="left"/>
        <w:rPr>
          <w:lang w:val="el-GR"/>
        </w:rPr>
      </w:pPr>
      <w:r>
        <w:rPr>
          <w:color w:val="000000"/>
          <w:lang w:val="el-GR"/>
        </w:rPr>
        <w:t xml:space="preserve">Συντονισμένες, </w:t>
      </w:r>
      <w:proofErr w:type="spellStart"/>
      <w:r>
        <w:rPr>
          <w:color w:val="000000"/>
          <w:lang w:val="el-GR"/>
        </w:rPr>
        <w:t>προσβάσιμες</w:t>
      </w:r>
      <w:proofErr w:type="spellEnd"/>
      <w:r>
        <w:rPr>
          <w:color w:val="000000"/>
          <w:lang w:val="el-GR"/>
        </w:rPr>
        <w:t xml:space="preserve">, ενήμερες ως προς το τραύμα υπηρεσίες: υποχρεωτική εκπαίδευση των αστυνομικών, δωρεάν νομική εκπροσώπηση, καμία λίστα αναμονής «οκτώ μήνες, δέκα μήνες» για τον άνθρωπο «που καίγεται με κρίση πανικού» (Σ1), συνεργασία και όχι ανταγωνισμός των φορέων, στέγη και εργασία, επαγγελματίες που έχουν την ευαισθησία να ακούσουν, να εξηγήσουν και να συμβουλέψουν, «και όχι να λειτουργούν </w:t>
      </w:r>
      <w:proofErr w:type="spellStart"/>
      <w:r>
        <w:rPr>
          <w:color w:val="000000"/>
          <w:lang w:val="el-GR"/>
        </w:rPr>
        <w:t>διεκπεραιωτικά</w:t>
      </w:r>
      <w:proofErr w:type="spellEnd"/>
      <w:r>
        <w:rPr>
          <w:color w:val="000000"/>
          <w:lang w:val="el-GR"/>
        </w:rPr>
        <w:t>» (Σ11), και υπηρεσίες και για τους άνδρες-θύματα.</w:t>
      </w:r>
    </w:p>
    <w:tbl>
      <w:tblPr>
        <w:tblStyle w:val="afff3"/>
        <w:tblW w:w="9072" w:type="dxa"/>
        <w:jc w:val="center"/>
        <w:tblLayout w:type="fixed"/>
        <w:tblLook w:val="0400" w:firstRow="0" w:lastRow="0" w:firstColumn="0" w:lastColumn="0" w:noHBand="0" w:noVBand="1"/>
      </w:tblPr>
      <w:tblGrid>
        <w:gridCol w:w="9072"/>
      </w:tblGrid>
      <w:tr w:rsidR="00E63D5B" w:rsidRPr="00D84B1E" w14:paraId="434E5D1E" w14:textId="77777777">
        <w:trPr>
          <w:tblHeader/>
          <w:jc w:val="center"/>
        </w:trPr>
        <w:tc>
          <w:tcPr>
            <w:tcW w:w="9072" w:type="dxa"/>
            <w:tcBorders>
              <w:top w:val="single" w:sz="6" w:space="0" w:color="B7C7DE"/>
              <w:left w:val="single" w:sz="6" w:space="0" w:color="B7C7DE"/>
              <w:bottom w:val="single" w:sz="6" w:space="0" w:color="B7C7DE"/>
              <w:right w:val="single" w:sz="6" w:space="0" w:color="B7C7DE"/>
            </w:tcBorders>
            <w:shd w:val="clear" w:color="auto" w:fill="EEF2F8"/>
          </w:tcPr>
          <w:p w14:paraId="1E06140B" w14:textId="77777777" w:rsidR="00E63D5B" w:rsidRPr="00132066" w:rsidRDefault="001F059D">
            <w:pPr>
              <w:spacing w:after="80" w:line="264" w:lineRule="auto"/>
              <w:jc w:val="left"/>
              <w:rPr>
                <w:lang w:val="el-GR"/>
              </w:rPr>
            </w:pPr>
            <w:r>
              <w:rPr>
                <w:b/>
                <w:bCs/>
                <w:lang w:val="el-GR"/>
              </w:rPr>
              <w:t>Σημασία των ευρημάτων του ποιοτικού σκέλους</w:t>
            </w:r>
          </w:p>
          <w:p w14:paraId="6A3BA796" w14:textId="4705E551" w:rsidR="00E63D5B" w:rsidRPr="00132066" w:rsidRDefault="001F059D">
            <w:pPr>
              <w:spacing w:after="80" w:line="264" w:lineRule="auto"/>
              <w:jc w:val="left"/>
              <w:rPr>
                <w:lang w:val="el-GR"/>
              </w:rPr>
            </w:pPr>
            <w:r>
              <w:rPr>
                <w:lang w:val="el-GR"/>
              </w:rPr>
              <w:t xml:space="preserve">Η βία είναι καθεστώς, όχι </w:t>
            </w:r>
            <w:proofErr w:type="spellStart"/>
            <w:r>
              <w:rPr>
                <w:lang w:val="el-GR"/>
              </w:rPr>
              <w:t>επεισόδιο·ο</w:t>
            </w:r>
            <w:proofErr w:type="spellEnd"/>
            <w:r>
              <w:rPr>
                <w:lang w:val="el-GR"/>
              </w:rPr>
              <w:t xml:space="preserve"> πυρήνας της είναι ο έλεγχος της πραγματικότητας, της αυτονομίας και των σχέσεων. Το ερώτημα «γιατί δεν αποχωρεί» είναι εσφαλμένα διατυπωμένο. Ο εγκλωβισμός παράγεται από την οικονομική εξάρτηση, τη στέγαση, τον πραγματικό φόβο, την επιμέλεια, το στίγμα και την αδιαφορία του περίγυρου. Αυτό που μεταδίδεται από γενιά σε γενιά είναι κυρίως τα όρια του «οικείου»: τι θεωρείται φυσιολογικό, ποιος υπομένει, πότε επιτρέπεται η αποκάλυψη. Μεταδίδονται επίσης η φροντίδα και η ανθεκτικότητα.</w:t>
            </w:r>
          </w:p>
          <w:p w14:paraId="0D990B2C" w14:textId="483B30D0" w:rsidR="00E63D5B" w:rsidRPr="00132066" w:rsidRDefault="001F059D">
            <w:pPr>
              <w:spacing w:after="80" w:line="264" w:lineRule="auto"/>
              <w:jc w:val="left"/>
              <w:rPr>
                <w:lang w:val="el-GR"/>
              </w:rPr>
            </w:pPr>
            <w:r>
              <w:rPr>
                <w:lang w:val="el-GR"/>
              </w:rPr>
              <w:t xml:space="preserve">Τα παιδιά είναι ενεργά </w:t>
            </w:r>
            <w:proofErr w:type="spellStart"/>
            <w:r>
              <w:rPr>
                <w:lang w:val="el-GR"/>
              </w:rPr>
              <w:t>υποκείμενα·χρειάζονται</w:t>
            </w:r>
            <w:proofErr w:type="spellEnd"/>
            <w:r>
              <w:rPr>
                <w:lang w:val="el-GR"/>
              </w:rPr>
              <w:t xml:space="preserve"> ασφαλή χώρο να μιλήσουν χωρίς να φέρουν την ευθύνη των ενηλίκων. Η μητρότητα είναι ταυτόχρονα πεδίο επιβάρυνσης και ο ισχυρότερος μοχλός διακοπής της μετάδοσης, υπό τον όρο ότι οι μητέρες δεν αφήνονται μόνες. Οι θεσμοί μπορούν να </w:t>
            </w:r>
            <w:proofErr w:type="spellStart"/>
            <w:r>
              <w:rPr>
                <w:lang w:val="el-GR"/>
              </w:rPr>
              <w:t>επανατραυματίσουν</w:t>
            </w:r>
            <w:proofErr w:type="spellEnd"/>
            <w:r>
              <w:rPr>
                <w:lang w:val="el-GR"/>
              </w:rPr>
              <w:t xml:space="preserve"> ή να επανορθώσουν. Η διαφορά έγκειται στο αν πιστεύουν τις γυναίκες, αν τις ενημερώνουν, αν συντονίζονται μεταξύ τους και αν διαθέτουν επαρκή χρόνο. Η ανάκαμψη δεν είναι γραμμική και η ανάπτυξη συνυπάρχει με το τραύμα.</w:t>
            </w:r>
          </w:p>
        </w:tc>
      </w:tr>
    </w:tbl>
    <w:p w14:paraId="30572257" w14:textId="77777777" w:rsidR="00E63D5B" w:rsidRPr="00132066" w:rsidRDefault="001F059D">
      <w:pPr>
        <w:pStyle w:val="1"/>
        <w:pageBreakBefore/>
        <w:rPr>
          <w:lang w:val="el-GR"/>
        </w:rPr>
      </w:pPr>
      <w:bookmarkStart w:id="58" w:name="_Toc242134463"/>
      <w:r>
        <w:rPr>
          <w:lang w:val="el-GR"/>
        </w:rPr>
        <w:lastRenderedPageBreak/>
        <w:t>8. Συζήτηση: Ερμηνεία και Σύνθεση των Ευρημάτων</w:t>
      </w:r>
      <w:bookmarkEnd w:id="58"/>
    </w:p>
    <w:p w14:paraId="19CD204D" w14:textId="77777777" w:rsidR="00E63D5B" w:rsidRPr="00132066" w:rsidRDefault="001F059D">
      <w:pPr>
        <w:rPr>
          <w:lang w:val="el-GR"/>
        </w:rPr>
      </w:pPr>
      <w:r>
        <w:rPr>
          <w:lang w:val="el-GR"/>
        </w:rPr>
        <w:t>Η συζήτηση οργανώνεται θεματικά και όχι ανά μέθοδο: για κάθε άξονα, τα ποσοτικά και τα ποιοτικά ευρήματα τοποθετούνται σε διάλογο μεταξύ τους και με τη διεθνή βιβλιογραφία, ώστε να αναδειχθούν τα σημεία σύγκλισης, συμπληρωματικότητας και απόκλισης.</w:t>
      </w:r>
    </w:p>
    <w:p w14:paraId="6D5CE264" w14:textId="77777777" w:rsidR="00E63D5B" w:rsidRPr="00132066" w:rsidRDefault="001F059D">
      <w:pPr>
        <w:pStyle w:val="20"/>
        <w:rPr>
          <w:lang w:val="el-GR"/>
        </w:rPr>
      </w:pPr>
      <w:bookmarkStart w:id="59" w:name="_Toc242134464"/>
      <w:r>
        <w:rPr>
          <w:lang w:val="el-GR"/>
        </w:rPr>
        <w:t>8.1 Το τραύμα ως κεντρικός άξονας της επιβάρυνσης</w:t>
      </w:r>
      <w:bookmarkEnd w:id="59"/>
    </w:p>
    <w:p w14:paraId="1F660DEA" w14:textId="77777777" w:rsidR="00E63D5B" w:rsidRPr="00132066" w:rsidRDefault="001F059D">
      <w:pPr>
        <w:rPr>
          <w:lang w:val="el-GR"/>
        </w:rPr>
      </w:pPr>
      <w:r>
        <w:rPr>
          <w:lang w:val="el-GR"/>
        </w:rPr>
        <w:t>Η σύγκλιση των δύο σκελών αναδεικνύει το τραύμα όχι ως μία από τις συνέπειες της βίας, αλλά ως τον άξονα γύρω από τον οποίο οργανώνεται ολόκληρη η ψυχολογική, σωματική και λειτουργική επιβάρυνση. Το γεγονός ότι σχεδόν δύο στις τρεις γυναίκες πληρούσαν το κριτήριο πιθανής ΔΜΤΣ δείχνει ότι η τραυματική επίδραση της βίας είναι κανόνας και όχι εξαίρεση στον πληθυσμό που απευθύνεται στις δομές, σε συμφωνία με τη διεθνή βιβλιογραφία (</w:t>
      </w:r>
      <w:r>
        <w:t>Garc</w:t>
      </w:r>
      <w:r>
        <w:rPr>
          <w:lang w:val="el-GR"/>
        </w:rPr>
        <w:t>í</w:t>
      </w:r>
      <w:r>
        <w:t>a</w:t>
      </w:r>
      <w:r>
        <w:rPr>
          <w:lang w:val="el-GR"/>
        </w:rPr>
        <w:t>-</w:t>
      </w:r>
      <w:r>
        <w:t>Moreno</w:t>
      </w:r>
      <w:r>
        <w:rPr>
          <w:lang w:val="el-GR"/>
        </w:rPr>
        <w:t xml:space="preserve"> </w:t>
      </w:r>
      <w:r>
        <w:t>et</w:t>
      </w:r>
      <w:r>
        <w:rPr>
          <w:lang w:val="el-GR"/>
        </w:rPr>
        <w:t xml:space="preserve"> </w:t>
      </w:r>
      <w:r>
        <w:t>al</w:t>
      </w:r>
      <w:r>
        <w:rPr>
          <w:lang w:val="el-GR"/>
        </w:rPr>
        <w:t>., 2006·</w:t>
      </w:r>
      <w:r>
        <w:t>Golding</w:t>
      </w:r>
      <w:r>
        <w:rPr>
          <w:lang w:val="el-GR"/>
        </w:rPr>
        <w:t>, 1999).</w:t>
      </w:r>
    </w:p>
    <w:p w14:paraId="29309FF4" w14:textId="77777777" w:rsidR="00E63D5B" w:rsidRPr="00132066" w:rsidRDefault="001F059D">
      <w:pPr>
        <w:rPr>
          <w:lang w:val="el-GR"/>
        </w:rPr>
      </w:pPr>
      <w:r>
        <w:rPr>
          <w:lang w:val="el-GR"/>
        </w:rPr>
        <w:t xml:space="preserve">Ενδιαφέρον παρουσιάζει το προφίλ των συμπτωμάτων: οι αρνητικές σκέψεις και η αρνητική διάθεση, μαζί με την υπερδιέγερση, ήταν οι πιο επιβαρυντικές διαστάσεις και εκείνες με τις ισχυρότερες σχέσεις με την κατάθλιψη, το στρες και τη μειωμένη ποιότητα ζωής, ενώ η αποφυγή ήταν η ασθενέστερη. Το ποιοτικό σκέλος επιβεβαιώνει με εντυπωσιακή συνέπεια αυτή την εικόνα: οι αφηγήσεις επικεντρώνονται σε βιώματα </w:t>
      </w:r>
      <w:proofErr w:type="spellStart"/>
      <w:r>
        <w:rPr>
          <w:lang w:val="el-GR"/>
        </w:rPr>
        <w:t>αυτοϋποτίμησης</w:t>
      </w:r>
      <w:proofErr w:type="spellEnd"/>
      <w:r>
        <w:rPr>
          <w:lang w:val="el-GR"/>
        </w:rPr>
        <w:t xml:space="preserve">, ενοχής, απώλειας ταυτότητας, </w:t>
      </w:r>
      <w:proofErr w:type="spellStart"/>
      <w:r>
        <w:rPr>
          <w:lang w:val="el-GR"/>
        </w:rPr>
        <w:t>αβοηθητότητας</w:t>
      </w:r>
      <w:proofErr w:type="spellEnd"/>
      <w:r>
        <w:rPr>
          <w:lang w:val="el-GR"/>
        </w:rPr>
        <w:t xml:space="preserve"> και διαρκούς επαγρύπνησης, δηλαδή ακριβώς στις διαστάσεις που «βαραίνουν» ποσοτικά. Η δυσκολία οργάνωσης και αφήγησης των τραυματικών εμπειριών, που αναδείχθηκε στις συνεντεύξεις, αντιστοιχεί στο γνωστικό αποτύπωμα του σύνθετου τραύματος (</w:t>
      </w:r>
      <w:proofErr w:type="spellStart"/>
      <w:r>
        <w:t>Cloitre</w:t>
      </w:r>
      <w:proofErr w:type="spellEnd"/>
      <w:r>
        <w:rPr>
          <w:lang w:val="el-GR"/>
        </w:rPr>
        <w:t xml:space="preserve"> </w:t>
      </w:r>
      <w:r>
        <w:t>et</w:t>
      </w:r>
      <w:r>
        <w:rPr>
          <w:lang w:val="el-GR"/>
        </w:rPr>
        <w:t xml:space="preserve"> </w:t>
      </w:r>
      <w:r>
        <w:t>al</w:t>
      </w:r>
      <w:r>
        <w:rPr>
          <w:lang w:val="el-GR"/>
        </w:rPr>
        <w:t>., 2013·</w:t>
      </w:r>
      <w:r>
        <w:t>Herman</w:t>
      </w:r>
      <w:r>
        <w:rPr>
          <w:lang w:val="el-GR"/>
        </w:rPr>
        <w:t>, 1992).</w:t>
      </w:r>
    </w:p>
    <w:p w14:paraId="4975143B" w14:textId="77777777" w:rsidR="00E63D5B" w:rsidRPr="00132066" w:rsidRDefault="001F059D">
      <w:pPr>
        <w:rPr>
          <w:lang w:val="el-GR"/>
        </w:rPr>
      </w:pPr>
      <w:r>
        <w:rPr>
          <w:lang w:val="el-GR"/>
        </w:rPr>
        <w:t xml:space="preserve">Το θέμα «το σώμα σε διαρκή ετοιμότητα» διευρύνει την κατανόηση του τραύματος ως ενσώματης και σχεσιακής προσαρμογής σε παρατεταμένη απειλή: η </w:t>
      </w:r>
      <w:proofErr w:type="spellStart"/>
      <w:r>
        <w:rPr>
          <w:lang w:val="el-GR"/>
        </w:rPr>
        <w:t>υπερεπαγρύπνηση</w:t>
      </w:r>
      <w:proofErr w:type="spellEnd"/>
      <w:r>
        <w:rPr>
          <w:lang w:val="el-GR"/>
        </w:rPr>
        <w:t>, η αποσύνδεση και η ανάγκη διαρκούς πρόβλεψης της συμπεριφοράς του δράστη είναι στρατηγικές διατήρησης κάποιου ελέγχου σε ένα απρόβλεπτο περιβάλλον (</w:t>
      </w:r>
      <w:r>
        <w:t>Herman</w:t>
      </w:r>
      <w:r>
        <w:rPr>
          <w:lang w:val="el-GR"/>
        </w:rPr>
        <w:t>, 1992·</w:t>
      </w:r>
      <w:r>
        <w:t>Van</w:t>
      </w:r>
      <w:r>
        <w:rPr>
          <w:lang w:val="el-GR"/>
        </w:rPr>
        <w:t xml:space="preserve"> </w:t>
      </w:r>
      <w:r>
        <w:t>der</w:t>
      </w:r>
      <w:r>
        <w:rPr>
          <w:lang w:val="el-GR"/>
        </w:rPr>
        <w:t xml:space="preserve"> </w:t>
      </w:r>
      <w:r>
        <w:t>Kolk</w:t>
      </w:r>
      <w:r>
        <w:rPr>
          <w:lang w:val="el-GR"/>
        </w:rPr>
        <w:t>, 2014). Η ενσώματη διάσταση επιβεβαιώνεται και ποσοτικά: η υπερδιέγερση, η διάσταση που συνδέεται στενότερα με τη φυσιολογική ενεργοποίηση, είχε ελαφρώς ισχυρότερη αρνητική σχέση με τη σωματική ποιότητα ζωής, και οι γυναίκες με πιθανή ΔΜΤΣ είχαν πολύ χαμηλότερη σωματική υγεία.</w:t>
      </w:r>
    </w:p>
    <w:p w14:paraId="2B95E4F1" w14:textId="77777777" w:rsidR="00E63D5B" w:rsidRPr="00132066" w:rsidRDefault="001F059D">
      <w:pPr>
        <w:rPr>
          <w:lang w:val="el-GR"/>
        </w:rPr>
      </w:pPr>
      <w:r>
        <w:rPr>
          <w:lang w:val="el-GR"/>
        </w:rPr>
        <w:t xml:space="preserve">Η κεντρικότητα του τραύματος επιβεβαιώνεται από το μοτίβο </w:t>
      </w:r>
      <w:proofErr w:type="spellStart"/>
      <w:r>
        <w:rPr>
          <w:lang w:val="el-GR"/>
        </w:rPr>
        <w:t>συννοσηρότητας</w:t>
      </w:r>
      <w:proofErr w:type="spellEnd"/>
      <w:r>
        <w:rPr>
          <w:lang w:val="el-GR"/>
        </w:rPr>
        <w:t>: οι γυναίκες με πιθανή ΔΜΤΣ είχαν σχεδόν τριπλάσια καταθλιπτική συμπτωματολογία και χαμηλότερη ποιότητα ζωής σε όλους τους τομείς. Τα ευρήματα υποστηρίζουν τις διεθνείς κατευθυντήριες γραμμές (</w:t>
      </w:r>
      <w:proofErr w:type="spellStart"/>
      <w:r>
        <w:t>Cloitre</w:t>
      </w:r>
      <w:proofErr w:type="spellEnd"/>
      <w:r>
        <w:rPr>
          <w:lang w:val="el-GR"/>
        </w:rPr>
        <w:t xml:space="preserve"> </w:t>
      </w:r>
      <w:r>
        <w:t>et</w:t>
      </w:r>
      <w:r>
        <w:rPr>
          <w:lang w:val="el-GR"/>
        </w:rPr>
        <w:t xml:space="preserve"> </w:t>
      </w:r>
      <w:r>
        <w:t>al</w:t>
      </w:r>
      <w:r>
        <w:rPr>
          <w:lang w:val="el-GR"/>
        </w:rPr>
        <w:t>., 2019·</w:t>
      </w:r>
      <w:r>
        <w:t>McLaughlin</w:t>
      </w:r>
      <w:r>
        <w:rPr>
          <w:lang w:val="el-GR"/>
        </w:rPr>
        <w:t xml:space="preserve"> </w:t>
      </w:r>
      <w:r>
        <w:t>et</w:t>
      </w:r>
      <w:r>
        <w:rPr>
          <w:lang w:val="el-GR"/>
        </w:rPr>
        <w:t xml:space="preserve"> </w:t>
      </w:r>
      <w:r>
        <w:t>al</w:t>
      </w:r>
      <w:r>
        <w:rPr>
          <w:lang w:val="el-GR"/>
        </w:rPr>
        <w:t xml:space="preserve">., 2020) για τη μετατόπιση από την αποσπασματική αξιολόγηση της κατάθλιψης ή του άγχους προς μια ολοκληρωμένη, ενήμερη ως προς το τραύμα κλινική προσέγγιση, που διερευνά συστηματικά το ιστορικό </w:t>
      </w:r>
      <w:proofErr w:type="spellStart"/>
      <w:r>
        <w:rPr>
          <w:lang w:val="el-GR"/>
        </w:rPr>
        <w:t>τραυματοποίησης</w:t>
      </w:r>
      <w:proofErr w:type="spellEnd"/>
      <w:r>
        <w:rPr>
          <w:lang w:val="el-GR"/>
        </w:rPr>
        <w:t xml:space="preserve"> και τις επιπτώσεις του στην αυτοαντίληψη, τις σχέσεις και τη λειτουργικότητα.</w:t>
      </w:r>
    </w:p>
    <w:p w14:paraId="307CAC4C" w14:textId="77777777" w:rsidR="00E63D5B" w:rsidRPr="00132066" w:rsidRDefault="001F059D">
      <w:pPr>
        <w:pStyle w:val="20"/>
        <w:rPr>
          <w:lang w:val="el-GR"/>
        </w:rPr>
      </w:pPr>
      <w:bookmarkStart w:id="60" w:name="_Toc242134465"/>
      <w:r>
        <w:rPr>
          <w:lang w:val="el-GR"/>
        </w:rPr>
        <w:t xml:space="preserve">8.2 Ο εξαναγκαστικός έλεγχος: </w:t>
      </w:r>
      <w:proofErr w:type="spellStart"/>
      <w:r>
        <w:rPr>
          <w:lang w:val="el-GR"/>
        </w:rPr>
        <w:t>αβοηθητότητα</w:t>
      </w:r>
      <w:proofErr w:type="spellEnd"/>
      <w:r>
        <w:rPr>
          <w:lang w:val="el-GR"/>
        </w:rPr>
        <w:t>, απομόνωση και δράση</w:t>
      </w:r>
      <w:bookmarkEnd w:id="60"/>
    </w:p>
    <w:p w14:paraId="39EAA2AC" w14:textId="77777777" w:rsidR="00E63D5B" w:rsidRPr="00132066" w:rsidRDefault="001F059D">
      <w:pPr>
        <w:rPr>
          <w:lang w:val="el-GR"/>
        </w:rPr>
      </w:pPr>
      <w:r>
        <w:rPr>
          <w:lang w:val="el-GR"/>
        </w:rPr>
        <w:t xml:space="preserve">Δεύτερο σημείο σύγκλισης είναι ο μηχανισμός της </w:t>
      </w:r>
      <w:proofErr w:type="spellStart"/>
      <w:r>
        <w:rPr>
          <w:lang w:val="el-GR"/>
        </w:rPr>
        <w:t>αβοηθητότητας</w:t>
      </w:r>
      <w:proofErr w:type="spellEnd"/>
      <w:r>
        <w:rPr>
          <w:lang w:val="el-GR"/>
        </w:rPr>
        <w:t xml:space="preserve">. Ποσοτικά, η έκθεση στη βία συνδέθηκε πρωτίστως με την αίσθηση αδυναμίας ελέγχου των γεγονότων και όχι με τη γενικευμένη αμφισβήτηση των προσωπικών ικανοτήτων. Ποιοτικά, η </w:t>
      </w:r>
      <w:proofErr w:type="spellStart"/>
      <w:r>
        <w:rPr>
          <w:lang w:val="el-GR"/>
        </w:rPr>
        <w:t>αβοηθητότητα</w:t>
      </w:r>
      <w:proofErr w:type="spellEnd"/>
      <w:r>
        <w:rPr>
          <w:lang w:val="el-GR"/>
        </w:rPr>
        <w:t xml:space="preserve"> δεν εμφανίζεται ως παθητικότητα ή ατομική </w:t>
      </w:r>
      <w:proofErr w:type="spellStart"/>
      <w:r>
        <w:rPr>
          <w:lang w:val="el-GR"/>
        </w:rPr>
        <w:t>ευαλωτότητα</w:t>
      </w:r>
      <w:proofErr w:type="spellEnd"/>
      <w:r>
        <w:rPr>
          <w:lang w:val="el-GR"/>
        </w:rPr>
        <w:t xml:space="preserve">, αλλά ως η αναμενόμενη ψυχολογική συνέπεια ενός περιβάλλοντος συστηματικού εξαναγκαστικού ελέγχου: επιτήρηση, περιορισμός της αυτονομίας, </w:t>
      </w:r>
      <w:r>
        <w:rPr>
          <w:lang w:val="el-GR"/>
        </w:rPr>
        <w:lastRenderedPageBreak/>
        <w:t xml:space="preserve">κοινωνική απομόνωση, χειραγώγηση μέσω των παιδιών, όπως ακριβώς έχει </w:t>
      </w:r>
      <w:proofErr w:type="spellStart"/>
      <w:r>
        <w:rPr>
          <w:lang w:val="el-GR"/>
        </w:rPr>
        <w:t>περιγραφεί</w:t>
      </w:r>
      <w:proofErr w:type="spellEnd"/>
      <w:r>
        <w:rPr>
          <w:lang w:val="el-GR"/>
        </w:rPr>
        <w:t xml:space="preserve"> από τον </w:t>
      </w:r>
      <w:r>
        <w:t>Stark</w:t>
      </w:r>
      <w:r>
        <w:rPr>
          <w:lang w:val="el-GR"/>
        </w:rPr>
        <w:t xml:space="preserve"> (2007·βλ. και </w:t>
      </w:r>
      <w:r>
        <w:t>Katz</w:t>
      </w:r>
      <w:r>
        <w:rPr>
          <w:lang w:val="el-GR"/>
        </w:rPr>
        <w:t>, 2016·</w:t>
      </w:r>
      <w:r>
        <w:t>Sweet</w:t>
      </w:r>
      <w:r>
        <w:rPr>
          <w:lang w:val="el-GR"/>
        </w:rPr>
        <w:t>, 2019).</w:t>
      </w:r>
    </w:p>
    <w:p w14:paraId="796F69C3" w14:textId="77777777" w:rsidR="00E63D5B" w:rsidRPr="00132066" w:rsidRDefault="001F059D">
      <w:pPr>
        <w:rPr>
          <w:lang w:val="el-GR"/>
        </w:rPr>
      </w:pPr>
      <w:r>
        <w:rPr>
          <w:lang w:val="el-GR"/>
        </w:rPr>
        <w:t>Η κοινωνική απομόνωση αναδείχθηκε ως κεντρική τακτική ελέγχου και όχι ως παρεπόμενο, και η ποσοτική εικόνα συγκλίνει: οι κοινωνικές σχέσεις ήταν ο χαμηλότερος τομέας ποιότητας ζωής, με πολύ μεγάλη διαφορά στις γυναίκες με πιθανή ΔΜΤΣ. Το προφίλ των μορφών βίας ενισχύει αυτή την ανάγνωση: η υπεροχή των ψυχολογικών και λεκτικών μορφών δεν σημαίνει μικρότερη σοβαρότητα, αλλά είναι συμβατή με ένα διάχυτο καθεστώς φόβου, απαξίωσης και ελέγχου, το οποίο ένα μοντέλο μεμονωμένων επεισοδίων δεν αποτυπώνει.</w:t>
      </w:r>
    </w:p>
    <w:p w14:paraId="42395068" w14:textId="77777777" w:rsidR="00E63D5B" w:rsidRPr="00132066" w:rsidRDefault="001F059D">
      <w:pPr>
        <w:rPr>
          <w:lang w:val="el-GR"/>
        </w:rPr>
      </w:pPr>
      <w:r>
        <w:rPr>
          <w:lang w:val="el-GR"/>
        </w:rPr>
        <w:t xml:space="preserve">Το εύρημα συνάδει με τη σύγχρονη κριτική της θεωρίας της «μαθημένης </w:t>
      </w:r>
      <w:proofErr w:type="spellStart"/>
      <w:r>
        <w:rPr>
          <w:lang w:val="el-GR"/>
        </w:rPr>
        <w:t>αβοηθητότητας</w:t>
      </w:r>
      <w:proofErr w:type="spellEnd"/>
      <w:r>
        <w:rPr>
          <w:lang w:val="el-GR"/>
        </w:rPr>
        <w:t>» (</w:t>
      </w:r>
      <w:r>
        <w:t>Seligman</w:t>
      </w:r>
      <w:r>
        <w:rPr>
          <w:lang w:val="el-GR"/>
        </w:rPr>
        <w:t xml:space="preserve">, 1975· </w:t>
      </w:r>
      <w:r>
        <w:t>Walker</w:t>
      </w:r>
      <w:r>
        <w:rPr>
          <w:lang w:val="el-GR"/>
        </w:rPr>
        <w:t>, 1979): η παραμονή στην κακοποιητική σχέση δεν ερμηνεύεται ως αποτέλεσμα εσωτερικών γνωστικών διεργασιών, αλλά μέσα στο πλαίσιο των δομικών και διαπροσωπικών μηχανισμών που περιορίζουν αντικειμενικά τις επιλογές (</w:t>
      </w:r>
      <w:r>
        <w:t>Dutton</w:t>
      </w:r>
      <w:r>
        <w:rPr>
          <w:lang w:val="el-GR"/>
        </w:rPr>
        <w:t xml:space="preserve"> &amp; </w:t>
      </w:r>
      <w:r>
        <w:t>Goodman</w:t>
      </w:r>
      <w:r>
        <w:rPr>
          <w:lang w:val="el-GR"/>
        </w:rPr>
        <w:t>, 2005·</w:t>
      </w:r>
      <w:r>
        <w:t>Stark</w:t>
      </w:r>
      <w:r>
        <w:rPr>
          <w:lang w:val="el-GR"/>
        </w:rPr>
        <w:t xml:space="preserve">, 2007). Η </w:t>
      </w:r>
      <w:proofErr w:type="spellStart"/>
      <w:r>
        <w:rPr>
          <w:lang w:val="el-GR"/>
        </w:rPr>
        <w:t>αβοηθητότητα</w:t>
      </w:r>
      <w:proofErr w:type="spellEnd"/>
      <w:r>
        <w:rPr>
          <w:lang w:val="el-GR"/>
        </w:rPr>
        <w:t xml:space="preserve">, ωστόσο, δεν ισοδυναμεί με απώλεια της δράσης: οι αφηγήσεις κατέγραψαν καθημερινές στρατηγικές αυτοπροστασίας, αποκλιμάκωσης, απόκρυψης πόρων, αναζήτησης συμμαχιών, σταδιακής προετοιμασίας της αποχώρησης και ενεργής προστασίας των παιδιών. Η μη σημαντική σχέση της βίας με την έλλειψη </w:t>
      </w:r>
      <w:proofErr w:type="spellStart"/>
      <w:r>
        <w:rPr>
          <w:lang w:val="el-GR"/>
        </w:rPr>
        <w:t>αυτοαποτελεσματικότητας</w:t>
      </w:r>
      <w:proofErr w:type="spellEnd"/>
      <w:r>
        <w:rPr>
          <w:lang w:val="el-GR"/>
        </w:rPr>
        <w:t xml:space="preserve"> υποστηρίζει αυτή την εικόνα: οι γυναίκες αντιλαμβάνονται ότι δεν ελέγχουν τις περιστάσεις, όχι ότι είναι ανίκανες.</w:t>
      </w:r>
    </w:p>
    <w:p w14:paraId="2BCE7548" w14:textId="77777777" w:rsidR="00E63D5B" w:rsidRPr="00132066" w:rsidRDefault="001F059D">
      <w:pPr>
        <w:rPr>
          <w:lang w:val="el-GR"/>
        </w:rPr>
      </w:pPr>
      <w:r>
        <w:rPr>
          <w:lang w:val="el-GR"/>
        </w:rPr>
        <w:t>Τέλος, η πλήρης διαμεσολάβηση της σχέσης βίας–κατάθλιψης από το αντιλαμβανόμενο στρες δείχνει ότι η αίσθηση απώλειας ελέγχου δεν αποτελεί απλώς συνοδό χαρακτηριστικό αλλά πιθανό μηχανισμό μέσω του οποίου η βία επιδρά στην ψυχική υγεία. Η διάκριση αυτή έχει κλινική και κοινωνική σημασία: μετατοπίζει το ερμηνευτικό βάρος από την υποτιθέμενη «αδυναμία» των γυναικών προς τις σχέσεις εξουσίας και τις συνθήκες που περιορίζουν την πραγματική τους δυνατότητα επιλογής.</w:t>
      </w:r>
    </w:p>
    <w:p w14:paraId="2A761A48" w14:textId="77777777" w:rsidR="00E63D5B" w:rsidRPr="00132066" w:rsidRDefault="001F059D">
      <w:pPr>
        <w:pStyle w:val="20"/>
        <w:rPr>
          <w:lang w:val="el-GR"/>
        </w:rPr>
      </w:pPr>
      <w:bookmarkStart w:id="61" w:name="_Toc242134466"/>
      <w:r>
        <w:rPr>
          <w:lang w:val="el-GR"/>
        </w:rPr>
        <w:t xml:space="preserve">8.3 Διαθεματικότητα, υλικός εγκλωβισμός και διαφοροποιημένες διαδρομές </w:t>
      </w:r>
      <w:proofErr w:type="spellStart"/>
      <w:r>
        <w:rPr>
          <w:lang w:val="el-GR"/>
        </w:rPr>
        <w:t>ευαλωτότητας</w:t>
      </w:r>
      <w:bookmarkEnd w:id="61"/>
      <w:proofErr w:type="spellEnd"/>
    </w:p>
    <w:p w14:paraId="0FDB0ECE" w14:textId="77777777" w:rsidR="00E63D5B" w:rsidRPr="00132066" w:rsidRDefault="001F059D">
      <w:pPr>
        <w:rPr>
          <w:lang w:val="el-GR"/>
        </w:rPr>
      </w:pPr>
      <w:r>
        <w:rPr>
          <w:lang w:val="el-GR"/>
        </w:rPr>
        <w:t>Το ποιοτικό σκέλος ανέδειξε ότι η εμπειρία της βίας διαμορφώνεται από τη διασταύρωση της οικονομικής κατάστασης, της μεταναστευτικής εμπειρίας, της μητρότητας, της ηλικίας και του μορφωτικού επιπέδου. Η οικονομική εξάρτηση δεν είναι μόνο δυσμενής συνθήκη διαβίωσης, αλλά αυτοτελής μορφή κακοποίησης (</w:t>
      </w:r>
      <w:r>
        <w:t>Adams</w:t>
      </w:r>
      <w:r>
        <w:rPr>
          <w:lang w:val="el-GR"/>
        </w:rPr>
        <w:t xml:space="preserve"> </w:t>
      </w:r>
      <w:r>
        <w:t>et</w:t>
      </w:r>
      <w:r>
        <w:rPr>
          <w:lang w:val="el-GR"/>
        </w:rPr>
        <w:t xml:space="preserve"> </w:t>
      </w:r>
      <w:r>
        <w:t>al</w:t>
      </w:r>
      <w:r>
        <w:rPr>
          <w:lang w:val="el-GR"/>
        </w:rPr>
        <w:t>., 2008): παρεμπόδιση της εργασίας, αποκλειστικός έλεγχος του εισοδήματος, στέρηση πρόσβασης σε χρήματα. Ιδιαίτερα αποκαλυπτική ήταν η αφήγηση στην οποία η βία εντάθηκε όταν ο δράστης απέκτησε μεγαλύτερη οικονομική ισχύ: οι πόροι δεν λειτουργούν προστατευτικά από μόνοι τους, αλλά αποκτούν νόημα μέσα στις έμφυλες σχέσεις εξουσίας. Η μητρότητα, μαζί με τη «δεύτερη βάρδια» της φροντίδας (</w:t>
      </w:r>
      <w:r>
        <w:t>Hochschild</w:t>
      </w:r>
      <w:r>
        <w:rPr>
          <w:lang w:val="el-GR"/>
        </w:rPr>
        <w:t>, 1989), λειτούργησε ως λόγος παραμονής, πεδίο ελέγχου και κίνητρο αποχώρησης ταυτόχρονα. Σε σύγκλιση, η έκθεση στη βία συνδέθηκε ποσοτικά με χαμηλότερη ποιότητα ζωής στη διάσταση του περιβάλλοντος (ασφάλεια, πόροι, συνθήκες διαβίωσης).</w:t>
      </w:r>
    </w:p>
    <w:p w14:paraId="61D3B5B9" w14:textId="6C8BE857" w:rsidR="00E63D5B" w:rsidRPr="00132066" w:rsidRDefault="001F059D">
      <w:pPr>
        <w:rPr>
          <w:lang w:val="el-GR"/>
        </w:rPr>
      </w:pPr>
      <w:r>
        <w:rPr>
          <w:lang w:val="el-GR"/>
        </w:rPr>
        <w:t xml:space="preserve">Η </w:t>
      </w:r>
      <w:proofErr w:type="spellStart"/>
      <w:r>
        <w:rPr>
          <w:lang w:val="el-GR"/>
        </w:rPr>
        <w:t>τριγωνοποίηση</w:t>
      </w:r>
      <w:proofErr w:type="spellEnd"/>
      <w:r>
        <w:rPr>
          <w:lang w:val="el-GR"/>
        </w:rPr>
        <w:t xml:space="preserve"> ανέδειξε ιδιαίτερα την πολυπλοκότητα της μεταναστευτικής θέσης. Οι μη Ελληνίδες ανέφεραν συχνότερα χαμηλό οικονομικό επίπεδο, αλλά όχι υψηλότερο τραύμα ή στρες, χαμηλότερη ανθεκτικότητα ή διαφορές στο πρώιμο τραύμα. Αντίθετα, ανέφεραν λιγότερη κατάθλιψη και καλύτερη σωματική ποιότητα ζωής. Τα ευρήματα αυτά δεν αναιρούν τις αφηγήσεις για τους γλωσσικούς και νομικούς φραγμούς, την εξάρτηση από τον δράστη για τη νομιμοποίηση της παραμονής και τον φόβο απέναντι στους θεσμούς. Η διαθεματικότητα δεν προϋποθέτει ότι οι </w:t>
      </w:r>
      <w:r>
        <w:rPr>
          <w:lang w:val="el-GR"/>
        </w:rPr>
        <w:lastRenderedPageBreak/>
        <w:t>ανισότητες αποτυπώνονται πάντοτε ως γραμμικές διαφορές στην ψυχοπαθολογία. Εξετάζει πώς διαμορφώνουν την έκθεση, την πρόσβαση σε πόρους και τη δυνατότητα αναζήτησης βοήθειας (</w:t>
      </w:r>
      <w:r>
        <w:t>Crenshaw</w:t>
      </w:r>
      <w:r>
        <w:rPr>
          <w:lang w:val="el-GR"/>
        </w:rPr>
        <w:t>, 1991·</w:t>
      </w:r>
      <w:r>
        <w:t>Erez</w:t>
      </w:r>
      <w:r>
        <w:rPr>
          <w:lang w:val="el-GR"/>
        </w:rPr>
        <w:t xml:space="preserve"> </w:t>
      </w:r>
      <w:r>
        <w:t>et</w:t>
      </w:r>
      <w:r>
        <w:rPr>
          <w:lang w:val="el-GR"/>
        </w:rPr>
        <w:t xml:space="preserve"> </w:t>
      </w:r>
      <w:r>
        <w:t>al</w:t>
      </w:r>
      <w:r>
        <w:rPr>
          <w:lang w:val="el-GR"/>
        </w:rPr>
        <w:t xml:space="preserve">., 2009). Επιπλέον, δεδομένου ότι συμμετείχαν μόνο μετανάστριες με επαρκή γνώση της ελληνικής, το δείγμα πιθανότατα </w:t>
      </w:r>
      <w:proofErr w:type="spellStart"/>
      <w:r>
        <w:rPr>
          <w:lang w:val="el-GR"/>
        </w:rPr>
        <w:t>υποεκπροσωπεί</w:t>
      </w:r>
      <w:proofErr w:type="spellEnd"/>
      <w:r>
        <w:rPr>
          <w:lang w:val="el-GR"/>
        </w:rPr>
        <w:t xml:space="preserve"> τις πλέον ευάλωτες.</w:t>
      </w:r>
    </w:p>
    <w:p w14:paraId="11EF5F97" w14:textId="77777777" w:rsidR="00E63D5B" w:rsidRPr="00132066" w:rsidRDefault="001F059D">
      <w:pPr>
        <w:rPr>
          <w:lang w:val="el-GR"/>
        </w:rPr>
      </w:pPr>
      <w:r>
        <w:rPr>
          <w:lang w:val="el-GR"/>
        </w:rPr>
        <w:t xml:space="preserve">Ευρύτερα, η σοβαρότητα του τραύματος δεν διαφοροποιήθηκε ανάλογα με κανένα </w:t>
      </w:r>
      <w:proofErr w:type="spellStart"/>
      <w:r>
        <w:rPr>
          <w:lang w:val="el-GR"/>
        </w:rPr>
        <w:t>κοινωνικοδημογραφικό</w:t>
      </w:r>
      <w:proofErr w:type="spellEnd"/>
      <w:r>
        <w:rPr>
          <w:lang w:val="el-GR"/>
        </w:rPr>
        <w:t xml:space="preserve"> χαρακτηριστικό, ενώ η </w:t>
      </w:r>
      <w:proofErr w:type="spellStart"/>
      <w:r>
        <w:rPr>
          <w:lang w:val="el-GR"/>
        </w:rPr>
        <w:t>μετατραυματική</w:t>
      </w:r>
      <w:proofErr w:type="spellEnd"/>
      <w:r>
        <w:rPr>
          <w:lang w:val="el-GR"/>
        </w:rPr>
        <w:t xml:space="preserve"> ανάπτυξη διαφοροποιήθηκε ως προς την εκπαίδευση και την επαγγελματική κατάσταση. Το πρώτο εύρημα δείχνει ότι η </w:t>
      </w:r>
      <w:proofErr w:type="spellStart"/>
      <w:r>
        <w:rPr>
          <w:lang w:val="el-GR"/>
        </w:rPr>
        <w:t>μετατραυματική</w:t>
      </w:r>
      <w:proofErr w:type="spellEnd"/>
      <w:r>
        <w:rPr>
          <w:lang w:val="el-GR"/>
        </w:rPr>
        <w:t xml:space="preserve"> επιβάρυνση δεν διαφοροποιείται κοινωνικά. Το δεύτερο, ότι ο τρόπος που οι γυναίκες </w:t>
      </w:r>
      <w:proofErr w:type="spellStart"/>
      <w:r>
        <w:rPr>
          <w:lang w:val="el-GR"/>
        </w:rPr>
        <w:t>νοηματοδοτούν</w:t>
      </w:r>
      <w:proofErr w:type="spellEnd"/>
      <w:r>
        <w:rPr>
          <w:lang w:val="el-GR"/>
        </w:rPr>
        <w:t xml:space="preserve"> την εμπειρία τους μπορεί να συνδέεται με κοινωνικούς και πολιτισμικούς παράγοντες, χωρίς αυτό να σημαίνει ότι η μειονεξία «ευνοεί» την ανάπτυξη.</w:t>
      </w:r>
    </w:p>
    <w:p w14:paraId="2732CE1E" w14:textId="77777777" w:rsidR="00E63D5B" w:rsidRPr="00132066" w:rsidRDefault="001F059D">
      <w:pPr>
        <w:pStyle w:val="20"/>
        <w:rPr>
          <w:lang w:val="el-GR"/>
        </w:rPr>
      </w:pPr>
      <w:bookmarkStart w:id="62" w:name="_Toc242134467"/>
      <w:r>
        <w:rPr>
          <w:lang w:val="el-GR"/>
        </w:rPr>
        <w:t xml:space="preserve">8.4 Πατριαρχία, έμφυλες νόρμες και </w:t>
      </w:r>
      <w:proofErr w:type="spellStart"/>
      <w:r>
        <w:rPr>
          <w:lang w:val="el-GR"/>
        </w:rPr>
        <w:t>κανονικοποίηση</w:t>
      </w:r>
      <w:proofErr w:type="spellEnd"/>
      <w:r>
        <w:rPr>
          <w:lang w:val="el-GR"/>
        </w:rPr>
        <w:t xml:space="preserve"> της βίας</w:t>
      </w:r>
      <w:bookmarkEnd w:id="62"/>
    </w:p>
    <w:p w14:paraId="631A1975" w14:textId="77777777" w:rsidR="00E63D5B" w:rsidRPr="00132066" w:rsidRDefault="001F059D">
      <w:pPr>
        <w:rPr>
          <w:lang w:val="el-GR"/>
        </w:rPr>
      </w:pPr>
      <w:r>
        <w:rPr>
          <w:lang w:val="el-GR"/>
        </w:rPr>
        <w:t xml:space="preserve">Οι αφηγήσεις εντάσσουν τη βία σε ένα σύστημα έμφυλων ιεραρχιών: </w:t>
      </w:r>
      <w:proofErr w:type="spellStart"/>
      <w:r>
        <w:rPr>
          <w:lang w:val="el-GR"/>
        </w:rPr>
        <w:t>κανονικοποίηση</w:t>
      </w:r>
      <w:proofErr w:type="spellEnd"/>
      <w:r>
        <w:rPr>
          <w:lang w:val="el-GR"/>
        </w:rPr>
        <w:t xml:space="preserve"> της ανδρικής επικυριαρχίας, παραδοσιακές αντιλήψεις για τους ρόλους, πολιτισμικές ή θρησκευτικές νομιμοποιήσεις της γυναικείας υποταγής. Η αξίωση ελέγχου δεν περιοριζόταν σε συγκεκριμένες συμπεριφορές, αλλά εκτεινόταν στην εμφάνιση, τη σεξουαλικότητα, τη μητρότητα, τη νοικοκυροσύνη και την κοινωνική παρουσία των γυναικών, σε συμφωνία με την έννοια της ηγεμονικής αρρενωπότητας (</w:t>
      </w:r>
      <w:r>
        <w:t>Connell</w:t>
      </w:r>
      <w:r>
        <w:rPr>
          <w:lang w:val="el-GR"/>
        </w:rPr>
        <w:t xml:space="preserve">, 1987). Η </w:t>
      </w:r>
      <w:proofErr w:type="spellStart"/>
      <w:r>
        <w:rPr>
          <w:lang w:val="el-GR"/>
        </w:rPr>
        <w:t>κανονικοποίηση</w:t>
      </w:r>
      <w:proofErr w:type="spellEnd"/>
      <w:r>
        <w:rPr>
          <w:lang w:val="el-GR"/>
        </w:rPr>
        <w:t xml:space="preserve"> ενισχύεται όταν τα πολιτισμικά σχήματα για την ερωτική αγάπη εξισώνουν τη ζήλια, την αποκλειστικότητα και την </w:t>
      </w:r>
      <w:proofErr w:type="spellStart"/>
      <w:r>
        <w:rPr>
          <w:lang w:val="el-GR"/>
        </w:rPr>
        <w:t>κτητικότητα</w:t>
      </w:r>
      <w:proofErr w:type="spellEnd"/>
      <w:r>
        <w:rPr>
          <w:lang w:val="el-GR"/>
        </w:rPr>
        <w:t xml:space="preserve"> με το ενδιαφέρον, κάτι που οι ίδιες οι γυναίκες ζητούν να «απομυθοποιηθεί» (</w:t>
      </w:r>
      <w:proofErr w:type="spellStart"/>
      <w:r>
        <w:t>Lelaurain</w:t>
      </w:r>
      <w:proofErr w:type="spellEnd"/>
      <w:r>
        <w:rPr>
          <w:lang w:val="el-GR"/>
        </w:rPr>
        <w:t xml:space="preserve"> </w:t>
      </w:r>
      <w:r>
        <w:t>et</w:t>
      </w:r>
      <w:r>
        <w:rPr>
          <w:lang w:val="el-GR"/>
        </w:rPr>
        <w:t xml:space="preserve"> </w:t>
      </w:r>
      <w:r>
        <w:t>al</w:t>
      </w:r>
      <w:r>
        <w:rPr>
          <w:lang w:val="el-GR"/>
        </w:rPr>
        <w:t xml:space="preserve">., 2021). Το θέμα «το οικείο ως φυσιολογικό» δείχνει ότι η </w:t>
      </w:r>
      <w:proofErr w:type="spellStart"/>
      <w:r>
        <w:rPr>
          <w:lang w:val="el-GR"/>
        </w:rPr>
        <w:t>κανονικοποίηση</w:t>
      </w:r>
      <w:proofErr w:type="spellEnd"/>
      <w:r>
        <w:rPr>
          <w:lang w:val="el-GR"/>
        </w:rPr>
        <w:t xml:space="preserve"> δεν εκκινεί εντός της ενήλικης σχέσης: οι οικογενειακές αφηγήσεις μεταφέρουν προσδοκίες για τη γυναικεία υπομονή και την ανδρική αυθεντία, συνδέοντας τη φεμινιστική ανάλυση (</w:t>
      </w:r>
      <w:proofErr w:type="spellStart"/>
      <w:r>
        <w:t>Dobash</w:t>
      </w:r>
      <w:proofErr w:type="spellEnd"/>
      <w:r>
        <w:rPr>
          <w:lang w:val="el-GR"/>
        </w:rPr>
        <w:t xml:space="preserve"> &amp; </w:t>
      </w:r>
      <w:proofErr w:type="spellStart"/>
      <w:r>
        <w:t>Dobash</w:t>
      </w:r>
      <w:proofErr w:type="spellEnd"/>
      <w:r>
        <w:rPr>
          <w:lang w:val="el-GR"/>
        </w:rPr>
        <w:t>, 1992) με την κοινωνική μάθηση (</w:t>
      </w:r>
      <w:r>
        <w:t>Bandura</w:t>
      </w:r>
      <w:r>
        <w:rPr>
          <w:lang w:val="el-GR"/>
        </w:rPr>
        <w:t xml:space="preserve">, 1977), χωρίς να ανάγουν τη </w:t>
      </w:r>
      <w:proofErr w:type="spellStart"/>
      <w:r>
        <w:rPr>
          <w:lang w:val="el-GR"/>
        </w:rPr>
        <w:t>θυματοποίηση</w:t>
      </w:r>
      <w:proofErr w:type="spellEnd"/>
      <w:r>
        <w:rPr>
          <w:lang w:val="el-GR"/>
        </w:rPr>
        <w:t xml:space="preserve"> σε ατομική επιλογή.</w:t>
      </w:r>
    </w:p>
    <w:p w14:paraId="7B4F7F0F" w14:textId="77777777" w:rsidR="00E63D5B" w:rsidRPr="00132066" w:rsidRDefault="001F059D">
      <w:pPr>
        <w:pStyle w:val="20"/>
        <w:rPr>
          <w:lang w:val="el-GR"/>
        </w:rPr>
      </w:pPr>
      <w:bookmarkStart w:id="63" w:name="_Toc242134468"/>
      <w:r>
        <w:rPr>
          <w:lang w:val="el-GR"/>
        </w:rPr>
        <w:t xml:space="preserve">8.5 Πρώιμο τραύμα, γονικός δεσμός και </w:t>
      </w:r>
      <w:proofErr w:type="spellStart"/>
      <w:r>
        <w:rPr>
          <w:lang w:val="el-GR"/>
        </w:rPr>
        <w:t>διαγενεακή</w:t>
      </w:r>
      <w:proofErr w:type="spellEnd"/>
      <w:r>
        <w:rPr>
          <w:lang w:val="el-GR"/>
        </w:rPr>
        <w:t xml:space="preserve"> μετάδοση</w:t>
      </w:r>
      <w:bookmarkEnd w:id="63"/>
    </w:p>
    <w:p w14:paraId="33CA4F52" w14:textId="77777777" w:rsidR="00E63D5B" w:rsidRPr="00132066" w:rsidRDefault="001F059D">
      <w:pPr>
        <w:rPr>
          <w:lang w:val="el-GR"/>
        </w:rPr>
      </w:pPr>
      <w:r>
        <w:rPr>
          <w:lang w:val="el-GR"/>
        </w:rPr>
        <w:t xml:space="preserve">Ένας από τους πλέον γόνιμους άξονες σύνθεσης αφορά τη </w:t>
      </w:r>
      <w:proofErr w:type="spellStart"/>
      <w:r>
        <w:rPr>
          <w:lang w:val="el-GR"/>
        </w:rPr>
        <w:t>διαγενεακή</w:t>
      </w:r>
      <w:proofErr w:type="spellEnd"/>
      <w:r>
        <w:rPr>
          <w:lang w:val="el-GR"/>
        </w:rPr>
        <w:t xml:space="preserve"> διάσταση. Τα ποσοτικά δεδομένα τοποθετούν την ενδοοικογενειακή βία στο πλαίσιο σωρευτικών και διαχρονικών εμπειριών τραύματος που ανάγονται στην παιδική ηλικία: σχεδόν εννέα στις δέκα γυναίκες (88%) ανέφεραν σωματική ή συναισθηματική κακοποίηση πριν από τα 18. Δεν βάραιναν, όμως, όλες οι αντιξοότητες το ίδιο: μόνο οι διαπροσωπικές μορφές τραύματος (παραμέληση, απαξίωση, σωματική βία, σεξουαλικός εξαναγκασμός, μαρτυρία βίας προς αγαπημένα πρόσωπα) συνδέθηκαν με μεταγενέστερη ΔΜΤΣ, ενώ τα ατυχήματα, οι ασθένειες και οι απώλειες όχι. Η διαφορά που καταγράφηκε στο γενικό τραύμα οφειλόταν στη μαρτυρία βίας προς άλλα πρόσωπα, η οποία αποτελεί επίσης διαπροσωπική εμπειρία. Το εύρημα συνάδει με τη θεωρία του «τραύματος προδοσίας» (</w:t>
      </w:r>
      <w:r>
        <w:t>Freyd</w:t>
      </w:r>
      <w:r>
        <w:rPr>
          <w:lang w:val="el-GR"/>
        </w:rPr>
        <w:t>, 1996): η βλάβη από πρόσωπα από τα οποία αναμένεται προστασία διαβρώνει τα θεμέλια της εμπιστοσύνης και της ασφάλειας.</w:t>
      </w:r>
    </w:p>
    <w:p w14:paraId="7351D3C7" w14:textId="3308DE63" w:rsidR="00E63D5B" w:rsidRPr="00132066" w:rsidRDefault="001F059D">
      <w:pPr>
        <w:rPr>
          <w:lang w:val="el-GR"/>
        </w:rPr>
      </w:pPr>
      <w:r>
        <w:rPr>
          <w:lang w:val="el-GR"/>
        </w:rPr>
        <w:t xml:space="preserve">Υπό αυτό το πρίσμα, η ενδοοικογενειακή βία στην ενήλικη ζωή φαίνεται συχνά να ενεργοποιεί ή να επαναλαμβάνει </w:t>
      </w:r>
      <w:proofErr w:type="spellStart"/>
      <w:r>
        <w:rPr>
          <w:lang w:val="el-GR"/>
        </w:rPr>
        <w:t>προϋπάρχοντα</w:t>
      </w:r>
      <w:proofErr w:type="spellEnd"/>
      <w:r>
        <w:rPr>
          <w:lang w:val="el-GR"/>
        </w:rPr>
        <w:t xml:space="preserve"> σχεσιακά μοτίβα. Τα μοντέλα κοινωνικής μάθησης (</w:t>
      </w:r>
      <w:r>
        <w:t>Bandura</w:t>
      </w:r>
      <w:r>
        <w:rPr>
          <w:lang w:val="el-GR"/>
        </w:rPr>
        <w:t>, 1977) και η θεωρία του δεσμού (</w:t>
      </w:r>
      <w:r>
        <w:t>Bowlby</w:t>
      </w:r>
      <w:r>
        <w:rPr>
          <w:lang w:val="el-GR"/>
        </w:rPr>
        <w:t>, 1969, 1973·</w:t>
      </w:r>
      <w:proofErr w:type="spellStart"/>
      <w:r>
        <w:t>Mikulincer</w:t>
      </w:r>
      <w:proofErr w:type="spellEnd"/>
      <w:r>
        <w:rPr>
          <w:lang w:val="el-GR"/>
        </w:rPr>
        <w:t xml:space="preserve"> &amp; </w:t>
      </w:r>
      <w:r>
        <w:t>Shaver</w:t>
      </w:r>
      <w:r>
        <w:rPr>
          <w:lang w:val="el-GR"/>
        </w:rPr>
        <w:t xml:space="preserve">, 2007) εξηγούν πώς η πρώιμη έκθεση διαμορφώνει τις προσδοκίες για τις σχέσεις, την αναγνώριση των ορίων και την ανοχή απέναντι σε κακοποιητικές συμπεριφορές. Το ποιοτικό σκέλος προσφέρει την ερμηνευτική προέκταση: οι αφηγήσεις ανέδειξαν πολλαπλούς μηχανισμούς (άμεση έκθεση σε βία στην πατρική οικογένεια, </w:t>
      </w:r>
      <w:proofErr w:type="spellStart"/>
      <w:r>
        <w:rPr>
          <w:lang w:val="el-GR"/>
        </w:rPr>
        <w:t>γονεοποίηση</w:t>
      </w:r>
      <w:proofErr w:type="spellEnd"/>
      <w:r>
        <w:rPr>
          <w:lang w:val="el-GR"/>
        </w:rPr>
        <w:t xml:space="preserve">, συναισθηματική παραμέληση, αναπαραγωγή έμφυλων ρόλων) και έδειξαν </w:t>
      </w:r>
      <w:r>
        <w:rPr>
          <w:lang w:val="el-GR"/>
        </w:rPr>
        <w:lastRenderedPageBreak/>
        <w:t xml:space="preserve">ότι μεταδίδονται όχι μόνο εμπειρίες, αλλά και τα ερμηνευτικά σχήματα μέσα από τα οποία αυτές </w:t>
      </w:r>
      <w:proofErr w:type="spellStart"/>
      <w:r>
        <w:rPr>
          <w:lang w:val="el-GR"/>
        </w:rPr>
        <w:t>νοηματοδοτούνται</w:t>
      </w:r>
      <w:proofErr w:type="spellEnd"/>
      <w:r>
        <w:rPr>
          <w:lang w:val="el-GR"/>
        </w:rPr>
        <w:t>.</w:t>
      </w:r>
    </w:p>
    <w:p w14:paraId="25367514" w14:textId="77777777" w:rsidR="00E63D5B" w:rsidRPr="00132066" w:rsidRDefault="001F059D">
      <w:pPr>
        <w:rPr>
          <w:lang w:val="el-GR"/>
        </w:rPr>
      </w:pPr>
      <w:r>
        <w:rPr>
          <w:lang w:val="el-GR"/>
        </w:rPr>
        <w:t xml:space="preserve">Το εύρημα του γονικού δεσμού (περισσότερη μητρική φροντίδα και λιγότερη υπερπροστασία στις γυναίκες με πιθανή ΔΜΤΣ) φαίνεται εκ πρώτης όψεως αντιφατικό. Το </w:t>
      </w:r>
      <w:r>
        <w:t>PBI</w:t>
      </w:r>
      <w:r>
        <w:rPr>
          <w:lang w:val="el-GR"/>
        </w:rPr>
        <w:t xml:space="preserve"> είναι αναδρομικό και οι απαντήσεις επηρεάζονται από τις τρέχουσες αναπαραστάσεις. Η φροντίδα μιας μητέρας μπορεί να συνυπήρχε με βία από άλλα πρόσωπα ή να εξιδανικεύεται αναδρομικά. Η απουσία διαφορών ως προς τον πατρικό δεσμό συνάδει με </w:t>
      </w:r>
      <w:proofErr w:type="spellStart"/>
      <w:r>
        <w:rPr>
          <w:lang w:val="el-GR"/>
        </w:rPr>
        <w:t>μετα</w:t>
      </w:r>
      <w:proofErr w:type="spellEnd"/>
      <w:r>
        <w:rPr>
          <w:lang w:val="el-GR"/>
        </w:rPr>
        <w:t>-αναλυτικά δεδομένα που δεν δείχνουν σταθερές διαφορές γονικού δεσμού μεταξύ ατόμων με και χωρίς ΔΜΤΣ (</w:t>
      </w:r>
      <w:r>
        <w:t>Kidd</w:t>
      </w:r>
      <w:r>
        <w:rPr>
          <w:lang w:val="el-GR"/>
        </w:rPr>
        <w:t xml:space="preserve"> </w:t>
      </w:r>
      <w:r>
        <w:t>et</w:t>
      </w:r>
      <w:r>
        <w:rPr>
          <w:lang w:val="el-GR"/>
        </w:rPr>
        <w:t xml:space="preserve"> </w:t>
      </w:r>
      <w:r>
        <w:t>al</w:t>
      </w:r>
      <w:r>
        <w:rPr>
          <w:lang w:val="el-GR"/>
        </w:rPr>
        <w:t xml:space="preserve">., 2022). Η </w:t>
      </w:r>
      <w:proofErr w:type="spellStart"/>
      <w:r>
        <w:rPr>
          <w:lang w:val="el-GR"/>
        </w:rPr>
        <w:t>μετατραυματική</w:t>
      </w:r>
      <w:proofErr w:type="spellEnd"/>
      <w:r>
        <w:rPr>
          <w:lang w:val="el-GR"/>
        </w:rPr>
        <w:t xml:space="preserve"> επιβάρυνση, επομένως, δεν συνδέεται απαραίτητα με μια λιγότερο </w:t>
      </w:r>
      <w:proofErr w:type="spellStart"/>
      <w:r>
        <w:rPr>
          <w:lang w:val="el-GR"/>
        </w:rPr>
        <w:t>φροντιστική</w:t>
      </w:r>
      <w:proofErr w:type="spellEnd"/>
      <w:r>
        <w:rPr>
          <w:lang w:val="el-GR"/>
        </w:rPr>
        <w:t xml:space="preserve"> μητέρα.</w:t>
      </w:r>
    </w:p>
    <w:p w14:paraId="35363671" w14:textId="77777777" w:rsidR="00E63D5B" w:rsidRPr="00132066" w:rsidRDefault="001F059D">
      <w:pPr>
        <w:rPr>
          <w:lang w:val="el-GR"/>
        </w:rPr>
      </w:pPr>
      <w:r>
        <w:rPr>
          <w:lang w:val="el-GR"/>
        </w:rPr>
        <w:t xml:space="preserve">Η </w:t>
      </w:r>
      <w:proofErr w:type="spellStart"/>
      <w:r>
        <w:rPr>
          <w:lang w:val="el-GR"/>
        </w:rPr>
        <w:t>διαγενεακή</w:t>
      </w:r>
      <w:proofErr w:type="spellEnd"/>
      <w:r>
        <w:rPr>
          <w:lang w:val="el-GR"/>
        </w:rPr>
        <w:t xml:space="preserve"> διάσταση αναδεικνύεται και στη γονεϊκότητα των ίδιων των γυναικών: παρότι η έκθεση στη βία δεν συσχετίστηκε άμεσα με τις γονικές πρακτικές, οι μητέρες με πιθανή ΔΜΤΣ ήταν περισσότερο υπερπροστατευτικές και αγχώδεις, διατηρώντας όμως τη ζεστασιά. Το μοτίβο είναι συμβατό με την υπόθεση ότι η επίδραση της βίας στη σχέση γονέα–παιδιού μεταφέρεται εν μέρει μέσω της </w:t>
      </w:r>
      <w:proofErr w:type="spellStart"/>
      <w:r>
        <w:rPr>
          <w:lang w:val="el-GR"/>
        </w:rPr>
        <w:t>μετατραυματικής</w:t>
      </w:r>
      <w:proofErr w:type="spellEnd"/>
      <w:r>
        <w:rPr>
          <w:lang w:val="el-GR"/>
        </w:rPr>
        <w:t xml:space="preserve"> δυσφορίας της μητέρας (</w:t>
      </w:r>
      <w:r>
        <w:t>Schechter</w:t>
      </w:r>
      <w:r>
        <w:rPr>
          <w:lang w:val="el-GR"/>
        </w:rPr>
        <w:t xml:space="preserve"> &amp; </w:t>
      </w:r>
      <w:r>
        <w:t>Willheim</w:t>
      </w:r>
      <w:r>
        <w:rPr>
          <w:lang w:val="el-GR"/>
        </w:rPr>
        <w:t xml:space="preserve">, 2009). Το θέμα «να τους δώσω ό,τι δεν είχα» συμπληρώνει την εικόνα: η μητρότητα λειτούργησε ως πεδίο επανόρθωσης και συνειδητής διακοπής της μετάδοσης, αλλά και ως πεδίο </w:t>
      </w:r>
      <w:proofErr w:type="spellStart"/>
      <w:r>
        <w:rPr>
          <w:lang w:val="el-GR"/>
        </w:rPr>
        <w:t>υπερευθύνης</w:t>
      </w:r>
      <w:proofErr w:type="spellEnd"/>
      <w:r>
        <w:rPr>
          <w:lang w:val="el-GR"/>
        </w:rPr>
        <w:t xml:space="preserve"> και φόβου. Η διατήρηση της συναισθηματικής ζεστασιάς, παρά την επιβάρυνση, είναι από τα πιο ελπιδοφόρα ευρήματα της έρευνας.</w:t>
      </w:r>
    </w:p>
    <w:p w14:paraId="7BD34D09" w14:textId="77777777" w:rsidR="00E63D5B" w:rsidRPr="00132066" w:rsidRDefault="001F059D">
      <w:pPr>
        <w:rPr>
          <w:lang w:val="el-GR"/>
        </w:rPr>
      </w:pPr>
      <w:r>
        <w:rPr>
          <w:lang w:val="el-GR"/>
        </w:rPr>
        <w:t xml:space="preserve">Συνολικά, τα ευρήματα υποστηρίζουν μια αναπτυξιακή και </w:t>
      </w:r>
      <w:proofErr w:type="spellStart"/>
      <w:r>
        <w:rPr>
          <w:lang w:val="el-GR"/>
        </w:rPr>
        <w:t>διαγενεακή</w:t>
      </w:r>
      <w:proofErr w:type="spellEnd"/>
      <w:r>
        <w:rPr>
          <w:lang w:val="el-GR"/>
        </w:rPr>
        <w:t xml:space="preserve"> κατανόηση της ενδοοικογενειακής βίας, όχι όμως μια αυτόματη ή αιτιοκρατική «μετάδοση». Συνάδουν με μια </w:t>
      </w:r>
      <w:proofErr w:type="spellStart"/>
      <w:r>
        <w:rPr>
          <w:lang w:val="el-GR"/>
        </w:rPr>
        <w:t>πιθανοκρατική</w:t>
      </w:r>
      <w:proofErr w:type="spellEnd"/>
      <w:r>
        <w:rPr>
          <w:lang w:val="el-GR"/>
        </w:rPr>
        <w:t xml:space="preserve"> και οικολογική προσέγγιση, όπου η συνέχεια ή η διακοπή προκύπτει από την αλληλεπίδραση ατομικών, σχεσιακών, κοινωνικών και θεσμικών παραγόντων (</w:t>
      </w:r>
      <w:r>
        <w:t>Heise</w:t>
      </w:r>
      <w:r>
        <w:rPr>
          <w:lang w:val="el-GR"/>
        </w:rPr>
        <w:t>, 1998·</w:t>
      </w:r>
      <w:r>
        <w:t>Narayan</w:t>
      </w:r>
      <w:r>
        <w:rPr>
          <w:lang w:val="el-GR"/>
        </w:rPr>
        <w:t xml:space="preserve"> </w:t>
      </w:r>
      <w:r>
        <w:t>et</w:t>
      </w:r>
      <w:r>
        <w:rPr>
          <w:lang w:val="el-GR"/>
        </w:rPr>
        <w:t xml:space="preserve"> </w:t>
      </w:r>
      <w:r>
        <w:t>al</w:t>
      </w:r>
      <w:r>
        <w:rPr>
          <w:lang w:val="el-GR"/>
        </w:rPr>
        <w:t>., 2021).</w:t>
      </w:r>
    </w:p>
    <w:p w14:paraId="743F571D" w14:textId="77777777" w:rsidR="00E63D5B" w:rsidRPr="00132066" w:rsidRDefault="001F059D">
      <w:pPr>
        <w:pStyle w:val="20"/>
        <w:rPr>
          <w:lang w:val="el-GR"/>
        </w:rPr>
      </w:pPr>
      <w:bookmarkStart w:id="64" w:name="_Toc242134469"/>
      <w:r>
        <w:rPr>
          <w:lang w:val="el-GR"/>
        </w:rPr>
        <w:t xml:space="preserve">8.6 Οι επιπτώσεις στα παιδιά: η βία ως συστημικό και </w:t>
      </w:r>
      <w:proofErr w:type="spellStart"/>
      <w:r>
        <w:rPr>
          <w:lang w:val="el-GR"/>
        </w:rPr>
        <w:t>διαγενεακό</w:t>
      </w:r>
      <w:proofErr w:type="spellEnd"/>
      <w:r>
        <w:rPr>
          <w:lang w:val="el-GR"/>
        </w:rPr>
        <w:t xml:space="preserve"> φαινόμενο</w:t>
      </w:r>
      <w:bookmarkEnd w:id="64"/>
    </w:p>
    <w:p w14:paraId="3CFDF5B0" w14:textId="77777777" w:rsidR="00E63D5B" w:rsidRPr="00132066" w:rsidRDefault="001F059D">
      <w:pPr>
        <w:rPr>
          <w:lang w:val="el-GR"/>
        </w:rPr>
      </w:pPr>
      <w:r>
        <w:rPr>
          <w:lang w:val="el-GR"/>
        </w:rPr>
        <w:t xml:space="preserve">Τα ευρήματα επιβεβαιώνουν ότι η βία επεκτείνεται στα παιδιά άμεσα και έμμεσα: το 79% είχε εκτεθεί σε τουλάχιστον μία μορφή και το 44% σε δύο ή περισσότερες, ενώ η έκθεση της μητέρας και του παιδιού συσχετίστηκαν μέτρια, μορφή προς μορφή. Τα παιδιά μητέρων με πιθανή ΔΜΤΣ είχαν υψηλότερη έκθεση σε όλες σχεδόν τις διαστάσεις, με στατιστικώς σημαντική διαφορά στην άμεση </w:t>
      </w:r>
      <w:proofErr w:type="spellStart"/>
      <w:r>
        <w:rPr>
          <w:lang w:val="el-GR"/>
        </w:rPr>
        <w:t>θυματοποίηση</w:t>
      </w:r>
      <w:proofErr w:type="spellEnd"/>
      <w:r>
        <w:rPr>
          <w:lang w:val="el-GR"/>
        </w:rPr>
        <w:t xml:space="preserve"> και στη συνολική έκθεση, σε πολύ μικρή ομάδα παιδιών.</w:t>
      </w:r>
    </w:p>
    <w:p w14:paraId="75C7280B" w14:textId="77777777" w:rsidR="00E63D5B" w:rsidRPr="00132066" w:rsidRDefault="001F059D">
      <w:pPr>
        <w:rPr>
          <w:lang w:val="el-GR"/>
        </w:rPr>
      </w:pPr>
      <w:r>
        <w:rPr>
          <w:lang w:val="el-GR"/>
        </w:rPr>
        <w:t>Τα δεδομένα, πάντως, δεν υποστηρίζουν ένα απλό μοντέλο άμεσης επίδρασης της βίας στα παιδιά. Οι δυσκολίες τους συνδέθηκαν με το στρες, το τραύμα και τη μειωμένη ποιότητα ζωής της μητέρας, αλλά όχι με τις επιμέρους μορφές βίας που εκείνη ανέφερε. Η εικόνα συνάδει με τα μοντέλα «διάχυσης» (</w:t>
      </w:r>
      <w:r>
        <w:t>spillover</w:t>
      </w:r>
      <w:r>
        <w:rPr>
          <w:lang w:val="el-GR"/>
        </w:rPr>
        <w:t>·</w:t>
      </w:r>
      <w:r>
        <w:t>Erel</w:t>
      </w:r>
      <w:r>
        <w:rPr>
          <w:lang w:val="el-GR"/>
        </w:rPr>
        <w:t xml:space="preserve"> &amp; </w:t>
      </w:r>
      <w:r>
        <w:t>Burman</w:t>
      </w:r>
      <w:r>
        <w:rPr>
          <w:lang w:val="el-GR"/>
        </w:rPr>
        <w:t>, 1995·</w:t>
      </w:r>
      <w:r>
        <w:t>Krishnakumar</w:t>
      </w:r>
      <w:r>
        <w:rPr>
          <w:lang w:val="el-GR"/>
        </w:rPr>
        <w:t xml:space="preserve"> &amp; </w:t>
      </w:r>
      <w:r>
        <w:t>Buehler</w:t>
      </w:r>
      <w:r>
        <w:rPr>
          <w:lang w:val="el-GR"/>
        </w:rPr>
        <w:t xml:space="preserve">, 2000) και </w:t>
      </w:r>
      <w:proofErr w:type="spellStart"/>
      <w:r>
        <w:rPr>
          <w:lang w:val="el-GR"/>
        </w:rPr>
        <w:t>διαγενεακής</w:t>
      </w:r>
      <w:proofErr w:type="spellEnd"/>
      <w:r>
        <w:rPr>
          <w:lang w:val="el-GR"/>
        </w:rPr>
        <w:t xml:space="preserve"> μετάδοσης της δυσφορίας (</w:t>
      </w:r>
      <w:r>
        <w:t>Goodman</w:t>
      </w:r>
      <w:r>
        <w:rPr>
          <w:lang w:val="el-GR"/>
        </w:rPr>
        <w:t xml:space="preserve"> &amp; </w:t>
      </w:r>
      <w:r>
        <w:t>Gotlib</w:t>
      </w:r>
      <w:r>
        <w:rPr>
          <w:lang w:val="el-GR"/>
        </w:rPr>
        <w:t>, 1999·</w:t>
      </w:r>
      <w:r>
        <w:t>Levendosky</w:t>
      </w:r>
      <w:r>
        <w:rPr>
          <w:lang w:val="el-GR"/>
        </w:rPr>
        <w:t xml:space="preserve"> &amp; </w:t>
      </w:r>
      <w:r>
        <w:t>Graham</w:t>
      </w:r>
      <w:r>
        <w:rPr>
          <w:lang w:val="el-GR"/>
        </w:rPr>
        <w:t>-</w:t>
      </w:r>
      <w:r>
        <w:t>Bermann</w:t>
      </w:r>
      <w:r>
        <w:rPr>
          <w:lang w:val="el-GR"/>
        </w:rPr>
        <w:t xml:space="preserve">, 2001· </w:t>
      </w:r>
      <w:r>
        <w:t>Levendosky</w:t>
      </w:r>
      <w:r>
        <w:rPr>
          <w:lang w:val="el-GR"/>
        </w:rPr>
        <w:t xml:space="preserve"> </w:t>
      </w:r>
      <w:r>
        <w:t>et</w:t>
      </w:r>
      <w:r>
        <w:rPr>
          <w:lang w:val="el-GR"/>
        </w:rPr>
        <w:t xml:space="preserve"> </w:t>
      </w:r>
      <w:r>
        <w:t>al</w:t>
      </w:r>
      <w:r>
        <w:rPr>
          <w:lang w:val="el-GR"/>
        </w:rPr>
        <w:t xml:space="preserve">., 2006), σύμφωνα με τα οποία το χρόνιο στρες και τα </w:t>
      </w:r>
      <w:proofErr w:type="spellStart"/>
      <w:r>
        <w:rPr>
          <w:lang w:val="el-GR"/>
        </w:rPr>
        <w:t>μετατραυματικά</w:t>
      </w:r>
      <w:proofErr w:type="spellEnd"/>
      <w:r>
        <w:rPr>
          <w:lang w:val="el-GR"/>
        </w:rPr>
        <w:t xml:space="preserve"> συμπτώματα του γονέα επηρεάζουν τη γονική λειτουργία και, μέσω αυτής, την προσαρμογή των παιδιών. Η μητρική ψυχική υγεία αναδεικνύεται έτσι ως ένας πιθανός, όχι ο μοναδικός, μηχανισμός </w:t>
      </w:r>
      <w:proofErr w:type="spellStart"/>
      <w:r>
        <w:rPr>
          <w:lang w:val="el-GR"/>
        </w:rPr>
        <w:t>διαγενεακής</w:t>
      </w:r>
      <w:proofErr w:type="spellEnd"/>
      <w:r>
        <w:rPr>
          <w:lang w:val="el-GR"/>
        </w:rPr>
        <w:t xml:space="preserve"> διάχυσης, και η θεραπεία της ως μέρος της προστασίας του παιδιού.</w:t>
      </w:r>
    </w:p>
    <w:p w14:paraId="7458164B" w14:textId="76485101" w:rsidR="00E63D5B" w:rsidRPr="00132066" w:rsidRDefault="001F059D">
      <w:pPr>
        <w:rPr>
          <w:lang w:val="el-GR"/>
        </w:rPr>
      </w:pPr>
      <w:r>
        <w:rPr>
          <w:lang w:val="el-GR"/>
        </w:rPr>
        <w:t>Το ποιοτικό σκέλος ανέδειξε ότι τα παιδιά χρησιμοποιούνταν συχνά ως μέσο ελέγχου από τον δράστη (</w:t>
      </w:r>
      <w:r>
        <w:t>Katz</w:t>
      </w:r>
      <w:r>
        <w:rPr>
          <w:lang w:val="el-GR"/>
        </w:rPr>
        <w:t xml:space="preserve">, 2016), επιβεβαιώνοντας ότι η συντροφική βία είναι οικογενειακό και όχι αποκλειστικά συζυγικό φαινόμενο, καθώς και ότι τα παιδιά είναι ενεργά υποκείμενα: βλέπουν, ερμηνεύουν, παίρνουν θέση, </w:t>
      </w:r>
      <w:r>
        <w:rPr>
          <w:lang w:val="el-GR"/>
        </w:rPr>
        <w:lastRenderedPageBreak/>
        <w:t xml:space="preserve">προσπαθούν να προστατεύσουν, αντιστέκονται. Ως προς το φύλο, η αυξημένη </w:t>
      </w:r>
      <w:proofErr w:type="spellStart"/>
      <w:r>
        <w:rPr>
          <w:lang w:val="el-GR"/>
        </w:rPr>
        <w:t>υπερκινητικότητα</w:t>
      </w:r>
      <w:proofErr w:type="spellEnd"/>
      <w:r>
        <w:rPr>
          <w:lang w:val="el-GR"/>
        </w:rPr>
        <w:t xml:space="preserve"> των αγοριών και η υψηλότερη θετική κοινωνική συμπεριφορά των κοριτσιών συνάδουν με τη βιβλιογραφία (</w:t>
      </w:r>
      <w:r>
        <w:t>Evans</w:t>
      </w:r>
      <w:r>
        <w:rPr>
          <w:lang w:val="el-GR"/>
        </w:rPr>
        <w:t xml:space="preserve"> </w:t>
      </w:r>
      <w:r>
        <w:t>et</w:t>
      </w:r>
      <w:r>
        <w:rPr>
          <w:lang w:val="el-GR"/>
        </w:rPr>
        <w:t xml:space="preserve"> </w:t>
      </w:r>
      <w:r>
        <w:t>al</w:t>
      </w:r>
      <w:r>
        <w:rPr>
          <w:lang w:val="el-GR"/>
        </w:rPr>
        <w:t>., 2008·</w:t>
      </w:r>
      <w:r>
        <w:t>Moody</w:t>
      </w:r>
      <w:r>
        <w:rPr>
          <w:lang w:val="el-GR"/>
        </w:rPr>
        <w:t xml:space="preserve"> </w:t>
      </w:r>
      <w:r>
        <w:t>et</w:t>
      </w:r>
      <w:r>
        <w:rPr>
          <w:lang w:val="el-GR"/>
        </w:rPr>
        <w:t xml:space="preserve"> </w:t>
      </w:r>
      <w:r>
        <w:t>al</w:t>
      </w:r>
      <w:r>
        <w:rPr>
          <w:lang w:val="el-GR"/>
        </w:rPr>
        <w:t>., 2018), χωρίς η δεύτερη να μπορεί να θεωρηθεί ειδική απόκριση στη βία.</w:t>
      </w:r>
    </w:p>
    <w:p w14:paraId="725C3574" w14:textId="77777777" w:rsidR="00E63D5B" w:rsidRPr="00132066" w:rsidRDefault="001F059D">
      <w:pPr>
        <w:rPr>
          <w:lang w:val="el-GR"/>
        </w:rPr>
      </w:pPr>
      <w:r>
        <w:rPr>
          <w:lang w:val="el-GR"/>
        </w:rPr>
        <w:t xml:space="preserve">Τα ευρήματα απαιτούν προσεκτική ερμηνεία: οι διαφορές που καταγράφηκαν στις γονικές αναφορές δεν επιβεβαιώθηκαν από τις </w:t>
      </w:r>
      <w:proofErr w:type="spellStart"/>
      <w:r>
        <w:rPr>
          <w:lang w:val="el-GR"/>
        </w:rPr>
        <w:t>αυτοαναφορές</w:t>
      </w:r>
      <w:proofErr w:type="spellEnd"/>
      <w:r>
        <w:rPr>
          <w:lang w:val="el-GR"/>
        </w:rPr>
        <w:t xml:space="preserve"> των εφήβων ούτε από τους δείκτες </w:t>
      </w:r>
      <w:proofErr w:type="spellStart"/>
      <w:r>
        <w:rPr>
          <w:lang w:val="el-GR"/>
        </w:rPr>
        <w:t>μετατραυματικής</w:t>
      </w:r>
      <w:proofErr w:type="spellEnd"/>
      <w:r>
        <w:rPr>
          <w:lang w:val="el-GR"/>
        </w:rPr>
        <w:t xml:space="preserve"> συμπτωματολογίας των ίδιων των παιδιών. Η απόκλιση μεταξύ πληροφοριοδοτών είναι συχνή στην αναπτυξιακή ψυχοπαθολογία (</w:t>
      </w:r>
      <w:r>
        <w:t>Niclasen</w:t>
      </w:r>
      <w:r>
        <w:rPr>
          <w:lang w:val="el-GR"/>
        </w:rPr>
        <w:t xml:space="preserve"> </w:t>
      </w:r>
      <w:r>
        <w:t>et</w:t>
      </w:r>
      <w:r>
        <w:rPr>
          <w:lang w:val="el-GR"/>
        </w:rPr>
        <w:t xml:space="preserve"> </w:t>
      </w:r>
      <w:r>
        <w:t>al</w:t>
      </w:r>
      <w:r>
        <w:rPr>
          <w:lang w:val="el-GR"/>
        </w:rPr>
        <w:t xml:space="preserve">., 2012) και μπορεί να αντανακλά το μικρό δείγμα, διαφορετικές οπτικές γωνίες, τη διαφορετική πρόσβαση της μητέρας και του παιδιού στα </w:t>
      </w:r>
      <w:proofErr w:type="spellStart"/>
      <w:r>
        <w:rPr>
          <w:lang w:val="el-GR"/>
        </w:rPr>
        <w:t>εσωτερικευμένα</w:t>
      </w:r>
      <w:proofErr w:type="spellEnd"/>
      <w:r>
        <w:rPr>
          <w:lang w:val="el-GR"/>
        </w:rPr>
        <w:t xml:space="preserve"> συμπτώματα ή την πιθανότητα ότι οι έφηβοι/ες που συμμετείχαν ήταν οι περισσότερο λειτουργικοί/</w:t>
      </w:r>
      <w:proofErr w:type="spellStart"/>
      <w:r>
        <w:rPr>
          <w:lang w:val="el-GR"/>
        </w:rPr>
        <w:t>ές</w:t>
      </w:r>
      <w:proofErr w:type="spellEnd"/>
      <w:r>
        <w:rPr>
          <w:lang w:val="el-GR"/>
        </w:rPr>
        <w:t>.</w:t>
      </w:r>
    </w:p>
    <w:p w14:paraId="567B86DF" w14:textId="77777777" w:rsidR="00E63D5B" w:rsidRPr="00132066" w:rsidRDefault="001F059D">
      <w:pPr>
        <w:pStyle w:val="20"/>
        <w:rPr>
          <w:lang w:val="el-GR"/>
        </w:rPr>
      </w:pPr>
      <w:bookmarkStart w:id="65" w:name="_Toc242134470"/>
      <w:r>
        <w:rPr>
          <w:lang w:val="el-GR"/>
        </w:rPr>
        <w:t xml:space="preserve">8.7 Βία μετά τον χωρισμό, θεσμική ανταπόκριση και </w:t>
      </w:r>
      <w:proofErr w:type="spellStart"/>
      <w:r>
        <w:rPr>
          <w:lang w:val="el-GR"/>
        </w:rPr>
        <w:t>επανατραυματισμός</w:t>
      </w:r>
      <w:bookmarkEnd w:id="65"/>
      <w:proofErr w:type="spellEnd"/>
    </w:p>
    <w:p w14:paraId="5BF1E9DC" w14:textId="77777777" w:rsidR="00E63D5B" w:rsidRPr="00132066" w:rsidRDefault="001F059D">
      <w:pPr>
        <w:rPr>
          <w:lang w:val="el-GR"/>
        </w:rPr>
      </w:pPr>
      <w:r>
        <w:rPr>
          <w:lang w:val="el-GR"/>
        </w:rPr>
        <w:t xml:space="preserve">Το θέμα «η βία δεν τελειώνει με τον χωρισμό» συναντά το ποσοτικό εύρημα ότι το 59,2% των γυναικών κατονόμασε ως κύριο δράστη πρώην σύζυγο ή σύντροφο και ότι έξι στις δέκα ήταν διαζευγμένες ή σε διάσταση. Το ποσοστό αυτό δεν αποτελεί μέτρηση </w:t>
      </w:r>
      <w:proofErr w:type="spellStart"/>
      <w:r>
        <w:rPr>
          <w:lang w:val="el-GR"/>
        </w:rPr>
        <w:t>επιπολασμού</w:t>
      </w:r>
      <w:proofErr w:type="spellEnd"/>
      <w:r>
        <w:rPr>
          <w:lang w:val="el-GR"/>
        </w:rPr>
        <w:t xml:space="preserve"> της βίας μετά τον χωρισμό, σε συνδυασμό όμως με τις αφηγήσεις για απειλές, καταδίωξη, χειραγώγηση μέσω των παιδιών και καταχρηστική χρήση των δικαστικών διαδικασιών, δείχνει ότι ο χωρισμός αναδιατάσσει και δεν καταργεί το καθεστώς ελέγχου (</w:t>
      </w:r>
      <w:r>
        <w:t>Spearman</w:t>
      </w:r>
      <w:r>
        <w:rPr>
          <w:lang w:val="el-GR"/>
        </w:rPr>
        <w:t xml:space="preserve"> </w:t>
      </w:r>
      <w:r>
        <w:t>et</w:t>
      </w:r>
      <w:r>
        <w:rPr>
          <w:lang w:val="el-GR"/>
        </w:rPr>
        <w:t xml:space="preserve"> </w:t>
      </w:r>
      <w:r>
        <w:t>al</w:t>
      </w:r>
      <w:r>
        <w:rPr>
          <w:lang w:val="el-GR"/>
        </w:rPr>
        <w:t>., 2024). Οι θεσμοί μπορούν να μετατραπούν σε πεδίο συνέχισης του ελέγχου, όταν ο δράστης αξιοποιεί καταγγελίες, αιτήματα επιμέλειας και επαναλαμβανόμενες δικαστικές διαδικασίες για να διατηρεί την επαφή, να εξαντλεί τους πόρους των επιζωσών και να αμφισβητεί τη γονεϊκή τους επάρκεια.</w:t>
      </w:r>
    </w:p>
    <w:p w14:paraId="6AA57662" w14:textId="4F5899C9" w:rsidR="00E63D5B" w:rsidRPr="00132066" w:rsidRDefault="001F059D">
      <w:pPr>
        <w:rPr>
          <w:lang w:val="el-GR"/>
        </w:rPr>
      </w:pPr>
      <w:r>
        <w:rPr>
          <w:lang w:val="el-GR"/>
        </w:rPr>
        <w:t>Οι αρνητικές θεσμικές εμπειρίες ερμηνεύονται μέσα από την έννοια της θεσμικής προδοσίας (</w:t>
      </w:r>
      <w:r>
        <w:t>institutional</w:t>
      </w:r>
      <w:r>
        <w:rPr>
          <w:lang w:val="el-GR"/>
        </w:rPr>
        <w:t xml:space="preserve"> </w:t>
      </w:r>
      <w:r>
        <w:t>betrayal</w:t>
      </w:r>
      <w:r>
        <w:rPr>
          <w:lang w:val="el-GR"/>
        </w:rPr>
        <w:t>·</w:t>
      </w:r>
      <w:r>
        <w:t>Smith</w:t>
      </w:r>
      <w:r>
        <w:rPr>
          <w:lang w:val="el-GR"/>
        </w:rPr>
        <w:t xml:space="preserve"> &amp; </w:t>
      </w:r>
      <w:r>
        <w:t>Freyd</w:t>
      </w:r>
      <w:r>
        <w:rPr>
          <w:lang w:val="el-GR"/>
        </w:rPr>
        <w:t>, 2014): την πρόσθετη βλάβη όταν ένας θεσμός από τον οποίο εξαρτάται κανείς και αναμένει προστασία αποτυγχάνει ή συμβάλλει στη βλάβη. Η προδοσία συντελείται με ενέργειες (αμφισβήτηση, ενοχοποίηση, αποθάρρυνση) και με παραλείψεις (μη καταγραφή, αποσπασματική εκτίμηση κινδύνου, ανεπαρκής διασύνδεση). Η ερμηνεία αυτή συνδέεται με ένα εγκάρσιο μοτίβο ολόκληρης της έρευνας: την επαναλαμβανόμενη διάψευση της εμπιστοσύνης στα πρόσωπα φροντίδας της παιδικής ηλικίας, στον σύντροφο και, μετά τον χωρισμό, στους θεσμούς, τις υπηρεσίες και τους φορείς. Η θεωρία διατήρησης των πόρων (</w:t>
      </w:r>
      <w:proofErr w:type="spellStart"/>
      <w:r>
        <w:t>Hobfoll</w:t>
      </w:r>
      <w:proofErr w:type="spellEnd"/>
      <w:r>
        <w:rPr>
          <w:lang w:val="el-GR"/>
        </w:rPr>
        <w:t xml:space="preserve">, 1989) εξηγεί γιατί η αναζήτηση βοήθειας που απαιτεί επαναλαμβανόμενες και εξαντλητικές διαδικασίες μπορεί να επιβαρύνει περαιτέρω ήδη περιορισμένους πόρους, ενώ η ανάλυση της </w:t>
      </w:r>
      <w:r>
        <w:t>Herman</w:t>
      </w:r>
      <w:r>
        <w:rPr>
          <w:lang w:val="el-GR"/>
        </w:rPr>
        <w:t xml:space="preserve"> (2023) για τη διαδικαστική δικαιοσύνη δείχνει ότι για τις επιζώσες σημασία έχει όχι μόνο η έκβαση, αλλά αν ακούγονται, αν αναγνωρίζονται, αν ενημερώνονται και αν διατηρούν την αξιοπρέπειά τους κατά τη διαδικασία.</w:t>
      </w:r>
    </w:p>
    <w:p w14:paraId="68BB8928" w14:textId="77777777" w:rsidR="00E63D5B" w:rsidRPr="00132066" w:rsidRDefault="001F059D">
      <w:pPr>
        <w:rPr>
          <w:lang w:val="el-GR"/>
        </w:rPr>
      </w:pPr>
      <w:r>
        <w:rPr>
          <w:lang w:val="el-GR"/>
        </w:rPr>
        <w:t>Οι θετικές εμπειρίες λειτούργησαν ως διορθωτικές σχεσιακές εμπειρίες: επαγγελματίες που πίστευαν τις γυναίκες χωρίς να απαιτούν διαρκώς νέες αποδείξεις, παρείχαν σαφή πληροφόρηση, σέβονταν τον χρόνο και τις αποφάσεις τους (</w:t>
      </w:r>
      <w:r>
        <w:t>Goodman</w:t>
      </w:r>
      <w:r>
        <w:rPr>
          <w:lang w:val="el-GR"/>
        </w:rPr>
        <w:t xml:space="preserve"> &amp; </w:t>
      </w:r>
      <w:r>
        <w:t>Epstein</w:t>
      </w:r>
      <w:r>
        <w:rPr>
          <w:lang w:val="el-GR"/>
        </w:rPr>
        <w:t>, 2008·</w:t>
      </w:r>
      <w:r>
        <w:t>Sullivan</w:t>
      </w:r>
      <w:r>
        <w:rPr>
          <w:lang w:val="el-GR"/>
        </w:rPr>
        <w:t xml:space="preserve"> &amp; </w:t>
      </w:r>
      <w:r>
        <w:t>Goodman</w:t>
      </w:r>
      <w:r>
        <w:rPr>
          <w:lang w:val="el-GR"/>
        </w:rPr>
        <w:t xml:space="preserve">, 2019). Τα ευρήματα συνάδουν με την έρευνα του ΕΚΚΕ για το ΚΕΘΙ (2020–2021) για τις κοινωνικές αναπαραστάσεις και τα στερεότυπα των επαγγελματιών (Τσίγκανου, 2021), καθώς και με τις διαπιστώσεις της </w:t>
      </w:r>
      <w:r>
        <w:t>GREVIO</w:t>
      </w:r>
      <w:r>
        <w:rPr>
          <w:lang w:val="el-GR"/>
        </w:rPr>
        <w:t xml:space="preserve"> (2023) για την απόσταση μεταξύ της τυπικής αναγνώρισης των δικαιωμάτων και της καθημερινής εφαρμογής τους.</w:t>
      </w:r>
    </w:p>
    <w:p w14:paraId="7D89B186" w14:textId="77777777" w:rsidR="00E63D5B" w:rsidRPr="00132066" w:rsidRDefault="001F059D">
      <w:pPr>
        <w:pStyle w:val="20"/>
        <w:rPr>
          <w:lang w:val="el-GR"/>
        </w:rPr>
      </w:pPr>
      <w:bookmarkStart w:id="66" w:name="_Toc242134471"/>
      <w:r>
        <w:rPr>
          <w:lang w:val="el-GR"/>
        </w:rPr>
        <w:lastRenderedPageBreak/>
        <w:t xml:space="preserve">8.8 Στρατηγικές αντιμετώπισης, ανθεκτικότητα και </w:t>
      </w:r>
      <w:proofErr w:type="spellStart"/>
      <w:r>
        <w:rPr>
          <w:lang w:val="el-GR"/>
        </w:rPr>
        <w:t>μετατραυματική</w:t>
      </w:r>
      <w:proofErr w:type="spellEnd"/>
      <w:r>
        <w:rPr>
          <w:lang w:val="el-GR"/>
        </w:rPr>
        <w:t xml:space="preserve"> ανάπτυξη</w:t>
      </w:r>
      <w:bookmarkEnd w:id="66"/>
    </w:p>
    <w:p w14:paraId="266C5466" w14:textId="77777777" w:rsidR="00E63D5B" w:rsidRPr="00132066" w:rsidRDefault="001F059D">
      <w:pPr>
        <w:rPr>
          <w:lang w:val="el-GR"/>
        </w:rPr>
      </w:pPr>
      <w:r>
        <w:rPr>
          <w:lang w:val="el-GR"/>
        </w:rPr>
        <w:t xml:space="preserve">Παρά το σημαντικό ψυχολογικό φορτίο, η έρευνα ανέδειξε ισχυρές διεργασίες ανθεκτικότητας και ανάπτυξης: αποκατάσταση της αυτονομίας, ανάκτηση της ταυτότητας, αναδόμηση της αυτοεκτίμησης, επένδυση σε νέες προοπτικές, επαναδιαπραγμάτευση του νοήματος. Το ποσοτικό σκέλος εξήγησε τη σύνθετη σχέση βίας–ανάπτυξης μέσα από τις δύο αντίθετες διαδρομές, εύρημα που βρίσκεται σε άμεση συμφωνία με το μοντέλο των </w:t>
      </w:r>
      <w:r>
        <w:t>Tedeschi</w:t>
      </w:r>
      <w:r>
        <w:rPr>
          <w:lang w:val="el-GR"/>
        </w:rPr>
        <w:t xml:space="preserve"> και </w:t>
      </w:r>
      <w:r>
        <w:t>Calhoun</w:t>
      </w:r>
      <w:r>
        <w:rPr>
          <w:lang w:val="el-GR"/>
        </w:rPr>
        <w:t xml:space="preserve"> (2004): η ανάπτυξη δεν προκύπτει από την αντιξοότητα καθαυτή, αλλά από τη γνωστική και υπαρξιακή επεξεργασία της, και η ψυχολογική δυσφορία, όταν παραμένει υψηλή, εμποδίζει αυτή την επεξεργασία.</w:t>
      </w:r>
    </w:p>
    <w:p w14:paraId="24EE8421" w14:textId="77777777" w:rsidR="00E63D5B" w:rsidRPr="00132066" w:rsidRDefault="001F059D">
      <w:pPr>
        <w:rPr>
          <w:lang w:val="el-GR"/>
        </w:rPr>
      </w:pPr>
      <w:r>
        <w:rPr>
          <w:lang w:val="el-GR"/>
        </w:rPr>
        <w:t xml:space="preserve">Οι αφηγήσεις ενισχύουν την ερμηνεία: η ανάπτυξη εμφανίζεται χρονικά μετά την απομάκρυνση από τον δράστη, τη σταθεροποίηση της καθημερινότητας και τη μερική αποκατάσταση της ισορροπίας, όπως προβλέπει το μοντέλο αποκατάστασης της </w:t>
      </w:r>
      <w:r>
        <w:t>Herman</w:t>
      </w:r>
      <w:r>
        <w:rPr>
          <w:lang w:val="el-GR"/>
        </w:rPr>
        <w:t xml:space="preserve"> (1992, 2015) (ασφάλεια, ενθύμηση και πένθος, επανασύνδεση). Η ανάπτυξη δεν ισοδυναμεί με επιστροφή στην προ της βίας κατάσταση ούτε ακυρώνει την επίμονη δυσφορία. Παράλληλα, οι αφηγήσεις εμπλουτίζουν το κυρίαρχο μοντέλο αναδεικνύοντας τη σχεσιακή διάσταση της ανάπτυξης: τα παιδιά ως καταλύτης αλλαγής, πηγή νοήματος και κινητήρια δύναμη, διάσταση που τα κλασικά ψυχομετρικά εργαλεία δεν αποτυπώνουν πλήρως (</w:t>
      </w:r>
      <w:r>
        <w:t>Machinga</w:t>
      </w:r>
      <w:r>
        <w:rPr>
          <w:lang w:val="el-GR"/>
        </w:rPr>
        <w:t>-</w:t>
      </w:r>
      <w:proofErr w:type="spellStart"/>
      <w:r>
        <w:t>Asaolu</w:t>
      </w:r>
      <w:proofErr w:type="spellEnd"/>
      <w:r>
        <w:rPr>
          <w:lang w:val="el-GR"/>
        </w:rPr>
        <w:t>, 2025).</w:t>
      </w:r>
    </w:p>
    <w:p w14:paraId="6D4FACDE" w14:textId="77777777" w:rsidR="00E63D5B" w:rsidRPr="00132066" w:rsidRDefault="001F059D">
      <w:pPr>
        <w:pStyle w:val="20"/>
        <w:rPr>
          <w:lang w:val="el-GR"/>
        </w:rPr>
      </w:pPr>
      <w:bookmarkStart w:id="67" w:name="_Toc242134472"/>
      <w:r>
        <w:rPr>
          <w:lang w:val="el-GR"/>
        </w:rPr>
        <w:t>8.9 Σύνθεση των ευρημάτων της μεικτής μεθοδολογίας</w:t>
      </w:r>
      <w:bookmarkEnd w:id="67"/>
    </w:p>
    <w:p w14:paraId="24A7BA69" w14:textId="77777777" w:rsidR="000956C9" w:rsidRPr="009C3AC6" w:rsidRDefault="00F56A84">
      <w:pPr>
        <w:rPr>
          <w:lang w:val="el-GR"/>
        </w:rPr>
      </w:pPr>
      <w:r w:rsidRPr="009C3AC6">
        <w:rPr>
          <w:lang w:val="el-GR"/>
        </w:rPr>
        <w:t xml:space="preserve">Η σύνθεση των δύο σκελών ακολουθεί τη λογική της </w:t>
      </w:r>
      <w:proofErr w:type="spellStart"/>
      <w:r w:rsidRPr="009C3AC6">
        <w:rPr>
          <w:lang w:val="el-GR"/>
        </w:rPr>
        <w:t>τριγωνοποίησης</w:t>
      </w:r>
      <w:proofErr w:type="spellEnd"/>
      <w:r w:rsidRPr="009C3AC6">
        <w:rPr>
          <w:lang w:val="el-GR"/>
        </w:rPr>
        <w:t>: για κάθε άξονα εξετάζεται αν τα ποσοτικά και τα ποιοτικά ευρήματα συγκλίνουν, δηλαδή αν επιβεβαιώνουν το ένα το άλλο, αν λειτουργούν συμπληρωματικά, δηλαδή αν το ένα σκέλος φωτίζει πτυχές που το άλλο δεν μπορεί να αποτυπώσει, ή αν αποκλίνουν και απαιτούν προσεκτικότερη ερμηνεία. Ο Πίνακας 7 συνοψίζει την αντιστοίχιση για τους εννέα άξονες που αναλύθηκαν στις προηγούμενες ενότητες.</w:t>
      </w:r>
    </w:p>
    <w:p w14:paraId="51A70810" w14:textId="77777777" w:rsidR="000956C9" w:rsidRPr="009C3AC6" w:rsidRDefault="00F56A84">
      <w:pPr>
        <w:rPr>
          <w:lang w:val="el-GR"/>
        </w:rPr>
      </w:pPr>
      <w:r w:rsidRPr="009C3AC6">
        <w:rPr>
          <w:lang w:val="el-GR"/>
        </w:rPr>
        <w:t xml:space="preserve">Σε πέντε άξονες τα δύο σκέλη συγκλίνουν πλήρως. Στην κεντρικότητα του τραύματος, το ποσοτικό εύρημα ότι το 62,7% των γυναικών εμφανίζει πιθανή ΔΜΤΣ, με ισχυρές σχέσεις με την κατάθλιψη, το στρες και την ποιότητα ζωής, συναντά στις αφηγήσεις τη διάβρωση του εαυτού, της εμπιστοσύνης και της ασφάλειας, την </w:t>
      </w:r>
      <w:proofErr w:type="spellStart"/>
      <w:r w:rsidRPr="009C3AC6">
        <w:rPr>
          <w:lang w:val="el-GR"/>
        </w:rPr>
        <w:t>αυτομομφή</w:t>
      </w:r>
      <w:proofErr w:type="spellEnd"/>
      <w:r w:rsidRPr="009C3AC6">
        <w:rPr>
          <w:lang w:val="el-GR"/>
        </w:rPr>
        <w:t xml:space="preserve"> και το «σώμα σε διαρκή ετοιμότητα». Στον υλικό εγκλωβισμό, η χαμηλότερη περιβαλλοντική ποιότητα ζωής των γυναικών με ΔΜΤΣ και με μεγαλύτερη έκθεση σε βία αντιστοιχεί στους πραγματικούς περιορισμούς της στέγασης, της οικονομικής εξάρτησης, της επιμέλειας και του στίγματος. Στη </w:t>
      </w:r>
      <w:proofErr w:type="spellStart"/>
      <w:r w:rsidRPr="009C3AC6">
        <w:rPr>
          <w:lang w:val="el-GR"/>
        </w:rPr>
        <w:t>διαγενεακή</w:t>
      </w:r>
      <w:proofErr w:type="spellEnd"/>
      <w:r w:rsidRPr="009C3AC6">
        <w:rPr>
          <w:lang w:val="el-GR"/>
        </w:rPr>
        <w:t xml:space="preserve"> συνέχεια, η ποσοτική αλυσίδα από το πρώιμο διαπροσωπικό τραύμα προς τη ΔΜΤΣ, από τη ΔΜΤΣ της μητέρας προς την υπερπροστασία και την αγχώδη ανατροφή και από τη βία της μητέρας προς την έκθεση του παιδιού βρίσκει στο ποιοτικό σκέλος τους μηχανισμούς της: τα οικογενειακά σενάρια, τις σιωπές και τα </w:t>
      </w:r>
      <w:proofErr w:type="spellStart"/>
      <w:r w:rsidRPr="009C3AC6">
        <w:rPr>
          <w:lang w:val="el-GR"/>
        </w:rPr>
        <w:t>έμφυλα</w:t>
      </w:r>
      <w:proofErr w:type="spellEnd"/>
      <w:r w:rsidRPr="009C3AC6">
        <w:rPr>
          <w:lang w:val="el-GR"/>
        </w:rPr>
        <w:t xml:space="preserve"> «πρέπει», αλλά και τις αποκλίνουσες περιπτώσεις και τις θετικές κληρονομιές. Στη μητρότητα, η διατήρηση της ζεστασιάς παρά τη ΔΜΤΣ, που κατέγραψε το ποσοτικό σκέλος, αντιστοιχεί στην επανορθωτική γονεϊκότητα, την </w:t>
      </w:r>
      <w:proofErr w:type="spellStart"/>
      <w:r w:rsidRPr="009C3AC6">
        <w:rPr>
          <w:lang w:val="el-GR"/>
        </w:rPr>
        <w:t>υπερευθύνη</w:t>
      </w:r>
      <w:proofErr w:type="spellEnd"/>
      <w:r w:rsidRPr="009C3AC6">
        <w:rPr>
          <w:lang w:val="el-GR"/>
        </w:rPr>
        <w:t xml:space="preserve">, τον φόβο της μετάδοσης και το κίνητρο ρήξης που περιγράφουν οι μητέρες. Στη </w:t>
      </w:r>
      <w:proofErr w:type="spellStart"/>
      <w:r w:rsidRPr="009C3AC6">
        <w:rPr>
          <w:lang w:val="el-GR"/>
        </w:rPr>
        <w:t>μετατραυματική</w:t>
      </w:r>
      <w:proofErr w:type="spellEnd"/>
      <w:r w:rsidRPr="009C3AC6">
        <w:rPr>
          <w:lang w:val="el-GR"/>
        </w:rPr>
        <w:t xml:space="preserve"> ανάπτυξη, οι δύο αντίθετες διαδρομές των αναλύσεων διαμεσολάβησης, με τη δυσφορία να εμποδίζει την ανάπτυξη, εμπλουτίζονται από τις αφηγήσεις, στις οποίες η ανάπτυξη έρχεται μετά την ασφάλεια, συνυπάρχει με το τραύμα και έχει σχεσιακό χαρακτήρα.</w:t>
      </w:r>
    </w:p>
    <w:p w14:paraId="0FED3751" w14:textId="77777777" w:rsidR="000956C9" w:rsidRPr="009C3AC6" w:rsidRDefault="00F56A84">
      <w:pPr>
        <w:rPr>
          <w:lang w:val="el-GR"/>
        </w:rPr>
      </w:pPr>
      <w:r w:rsidRPr="009C3AC6">
        <w:rPr>
          <w:lang w:val="el-GR"/>
        </w:rPr>
        <w:t xml:space="preserve">Σε δύο άξονες η σχέση είναι σύγκλισης και συμπληρωματικότητας. Στην </w:t>
      </w:r>
      <w:proofErr w:type="spellStart"/>
      <w:r w:rsidRPr="009C3AC6">
        <w:rPr>
          <w:lang w:val="el-GR"/>
        </w:rPr>
        <w:t>αβοηθητότητα</w:t>
      </w:r>
      <w:proofErr w:type="spellEnd"/>
      <w:r w:rsidRPr="009C3AC6">
        <w:rPr>
          <w:lang w:val="el-GR"/>
        </w:rPr>
        <w:t xml:space="preserve">, η βία συνδέθηκε ποσοτικά με την αίσθηση απώλειας ελέγχου και όχι με έλλειψη </w:t>
      </w:r>
      <w:proofErr w:type="spellStart"/>
      <w:r w:rsidRPr="009C3AC6">
        <w:rPr>
          <w:lang w:val="el-GR"/>
        </w:rPr>
        <w:t>αυτοαποτελεσματικότητας</w:t>
      </w:r>
      <w:proofErr w:type="spellEnd"/>
      <w:r w:rsidRPr="009C3AC6">
        <w:rPr>
          <w:lang w:val="el-GR"/>
        </w:rPr>
        <w:t xml:space="preserve">, ενώ το στρες διαμεσολάβησε τη σχέση της με την κατάθλιψη. Οι </w:t>
      </w:r>
      <w:r w:rsidRPr="009C3AC6">
        <w:rPr>
          <w:lang w:val="el-GR"/>
        </w:rPr>
        <w:lastRenderedPageBreak/>
        <w:t xml:space="preserve">αφηγήσεις εξηγούν την προέλευση αυτής της αίσθησης στον εξαναγκαστικό έλεγχο, την απομόνωση και την οικονομική εξάρτηση, αλλά αναδεικνύουν παράλληλα ενεργητικές στρατηγικές επιβίωσης. Η </w:t>
      </w:r>
      <w:proofErr w:type="spellStart"/>
      <w:r w:rsidRPr="009C3AC6">
        <w:rPr>
          <w:lang w:val="el-GR"/>
        </w:rPr>
        <w:t>αβοηθητότητα</w:t>
      </w:r>
      <w:proofErr w:type="spellEnd"/>
      <w:r w:rsidRPr="009C3AC6">
        <w:rPr>
          <w:lang w:val="el-GR"/>
        </w:rPr>
        <w:t xml:space="preserve">, επομένως, συνυπάρχει με τη δράση. Στα παιδιά, οι περισσότερες δυσκολίες που κατέγραψαν οι μητέρες συνδέθηκαν με τη ΔΜΤΣ, το στρες και τη χαμηλή ποιότητα ζωής της μητέρας και όχι με τη μορφή της βίας, ενώ οι </w:t>
      </w:r>
      <w:proofErr w:type="spellStart"/>
      <w:r w:rsidRPr="009C3AC6">
        <w:rPr>
          <w:lang w:val="el-GR"/>
        </w:rPr>
        <w:t>αυτοαναφορές</w:t>
      </w:r>
      <w:proofErr w:type="spellEnd"/>
      <w:r w:rsidRPr="009C3AC6">
        <w:rPr>
          <w:lang w:val="el-GR"/>
        </w:rPr>
        <w:t xml:space="preserve"> των εφήβων δεν επιβεβαίωσαν τις διαφορές. Το ποιοτικό σκέλος συμπληρώνει την εικόνα δείχνοντας τα παιδιά να βλέπουν, να φροντίζουν, να μιμούνται, να αντιστέκονται και να μιλούν. Η απόκλιση ανάμεσα στις δύο πηγές πληροφόρησης παραμένει ανοιχτό ερώτημα.</w:t>
      </w:r>
    </w:p>
    <w:p w14:paraId="1A6FC850" w14:textId="77777777" w:rsidR="000956C9" w:rsidRPr="00883C95" w:rsidRDefault="00F56A84">
      <w:pPr>
        <w:rPr>
          <w:lang w:val="el-GR"/>
        </w:rPr>
      </w:pPr>
      <w:r w:rsidRPr="009C3AC6">
        <w:rPr>
          <w:lang w:val="el-GR"/>
        </w:rPr>
        <w:t xml:space="preserve">Δύο άξονες, τέλος, εμφανίζουν απόκλιση που χρειάζεται ερμηνεία. Οι μη Ελληνίδες συμμετέχουσες βρίσκονταν σε χειρότερη οικονομική θέση, χωρίς όμως χειρότερο ψυχολογικό προφίλ, ενώ οι αφηγήσεις ανέδειξαν γλωσσικούς, νομικούς και κοινωνικούς φραγμούς. Η </w:t>
      </w:r>
      <w:proofErr w:type="spellStart"/>
      <w:r w:rsidRPr="009C3AC6">
        <w:rPr>
          <w:lang w:val="el-GR"/>
        </w:rPr>
        <w:t>ευαλωτότητά</w:t>
      </w:r>
      <w:proofErr w:type="spellEnd"/>
      <w:r w:rsidRPr="009C3AC6">
        <w:rPr>
          <w:lang w:val="el-GR"/>
        </w:rPr>
        <w:t xml:space="preserve"> τους αφορά την πρόσβαση σε πόρους και προστασία, όχι την ψυχική αντοχή. Στον γονικό δεσμό, το απροσδόκητο ποσοτικό εύρημα της περισσότερης μητρικής φροντίδας στις γυναίκες με ΔΜΤΣ συναντά στις αφηγήσεις πολύπλοκες και αντιφατικές αναπαραστάσεις των γονέων και ερμηνεύεται με επιφύλαξη</w:t>
      </w:r>
      <w:r w:rsidRPr="00883C95">
        <w:rPr>
          <w:lang w:val="el-GR"/>
        </w:rPr>
        <w:t>.</w:t>
      </w:r>
    </w:p>
    <w:p w14:paraId="4D646D25" w14:textId="61DFFB17" w:rsidR="00E63D5B" w:rsidRPr="00132066" w:rsidRDefault="001F059D">
      <w:pPr>
        <w:keepNext/>
        <w:spacing w:after="60"/>
        <w:jc w:val="left"/>
        <w:rPr>
          <w:lang w:val="el-GR"/>
        </w:rPr>
      </w:pPr>
      <w:r>
        <w:rPr>
          <w:b/>
          <w:bCs/>
          <w:color w:val="1D2B44"/>
          <w:sz w:val="20"/>
          <w:szCs w:val="20"/>
          <w:lang w:val="el-GR"/>
        </w:rPr>
        <w:t xml:space="preserve">Πίνακας </w:t>
      </w:r>
      <w:r w:rsidR="00EB7D96">
        <w:rPr>
          <w:b/>
          <w:bCs/>
          <w:color w:val="1D2B44"/>
          <w:sz w:val="20"/>
          <w:szCs w:val="20"/>
          <w:lang w:val="el-GR"/>
        </w:rPr>
        <w:t>8</w:t>
      </w:r>
      <w:r>
        <w:rPr>
          <w:b/>
          <w:bCs/>
          <w:color w:val="1D2B44"/>
          <w:sz w:val="20"/>
          <w:szCs w:val="20"/>
          <w:lang w:val="el-GR"/>
        </w:rPr>
        <w:t xml:space="preserve">. </w:t>
      </w:r>
      <w:r>
        <w:rPr>
          <w:i/>
          <w:iCs/>
          <w:color w:val="1D2B44"/>
          <w:sz w:val="20"/>
          <w:szCs w:val="20"/>
          <w:lang w:val="el-GR"/>
        </w:rPr>
        <w:t>Σύγκλιση, συμπληρωματικότητα και απόκλιση των δύο σκελών</w:t>
      </w:r>
    </w:p>
    <w:tbl>
      <w:tblPr>
        <w:tblStyle w:val="afff4"/>
        <w:tblW w:w="9161" w:type="dxa"/>
        <w:jc w:val="center"/>
        <w:tblLayout w:type="fixed"/>
        <w:tblLook w:val="0400" w:firstRow="0" w:lastRow="0" w:firstColumn="0" w:lastColumn="0" w:noHBand="0" w:noVBand="1"/>
      </w:tblPr>
      <w:tblGrid>
        <w:gridCol w:w="2268"/>
        <w:gridCol w:w="2357"/>
        <w:gridCol w:w="2268"/>
        <w:gridCol w:w="2268"/>
      </w:tblGrid>
      <w:tr w:rsidR="00E63D5B" w14:paraId="31ED2409" w14:textId="77777777">
        <w:trPr>
          <w:cantSplit/>
          <w:tblHeader/>
          <w:jc w:val="center"/>
        </w:trPr>
        <w:tc>
          <w:tcPr>
            <w:tcW w:w="2268" w:type="dxa"/>
            <w:tcBorders>
              <w:top w:val="single" w:sz="4" w:space="0" w:color="BFBFBF"/>
              <w:left w:val="single" w:sz="4" w:space="0" w:color="BFBFBF"/>
              <w:bottom w:val="single" w:sz="4" w:space="0" w:color="BFBFBF"/>
              <w:right w:val="single" w:sz="4" w:space="0" w:color="BFBFBF"/>
            </w:tcBorders>
            <w:shd w:val="clear" w:color="auto" w:fill="4A6FA5"/>
          </w:tcPr>
          <w:p w14:paraId="20BBF43E" w14:textId="77777777" w:rsidR="00E63D5B" w:rsidRDefault="001F059D">
            <w:pPr>
              <w:spacing w:after="40" w:line="240" w:lineRule="auto"/>
              <w:jc w:val="left"/>
            </w:pPr>
            <w:proofErr w:type="spellStart"/>
            <w:r>
              <w:rPr>
                <w:b/>
                <w:bCs/>
                <w:color w:val="FFFFFF"/>
                <w:sz w:val="19"/>
                <w:szCs w:val="19"/>
              </w:rPr>
              <w:t>Άξον</w:t>
            </w:r>
            <w:proofErr w:type="spellEnd"/>
            <w:r>
              <w:rPr>
                <w:b/>
                <w:bCs/>
                <w:color w:val="FFFFFF"/>
                <w:sz w:val="19"/>
                <w:szCs w:val="19"/>
              </w:rPr>
              <w:t>ας</w:t>
            </w:r>
          </w:p>
        </w:tc>
        <w:tc>
          <w:tcPr>
            <w:tcW w:w="2357" w:type="dxa"/>
            <w:tcBorders>
              <w:top w:val="single" w:sz="4" w:space="0" w:color="BFBFBF"/>
              <w:left w:val="single" w:sz="4" w:space="0" w:color="BFBFBF"/>
              <w:bottom w:val="single" w:sz="4" w:space="0" w:color="BFBFBF"/>
              <w:right w:val="single" w:sz="4" w:space="0" w:color="BFBFBF"/>
            </w:tcBorders>
            <w:shd w:val="clear" w:color="auto" w:fill="4A6FA5"/>
          </w:tcPr>
          <w:p w14:paraId="6595B328" w14:textId="77777777" w:rsidR="00E63D5B" w:rsidRDefault="001F059D">
            <w:pPr>
              <w:spacing w:after="40" w:line="240" w:lineRule="auto"/>
              <w:jc w:val="left"/>
            </w:pPr>
            <w:proofErr w:type="spellStart"/>
            <w:r>
              <w:rPr>
                <w:b/>
                <w:bCs/>
                <w:color w:val="FFFFFF"/>
                <w:sz w:val="19"/>
                <w:szCs w:val="19"/>
              </w:rPr>
              <w:t>Ποσοτικό</w:t>
            </w:r>
            <w:proofErr w:type="spellEnd"/>
            <w:r>
              <w:rPr>
                <w:b/>
                <w:bCs/>
                <w:color w:val="FFFFFF"/>
                <w:sz w:val="19"/>
                <w:szCs w:val="19"/>
              </w:rPr>
              <w:t xml:space="preserve"> </w:t>
            </w:r>
            <w:proofErr w:type="spellStart"/>
            <w:r>
              <w:rPr>
                <w:b/>
                <w:bCs/>
                <w:color w:val="FFFFFF"/>
                <w:sz w:val="19"/>
                <w:szCs w:val="19"/>
              </w:rPr>
              <w:t>σκέλος</w:t>
            </w:r>
            <w:proofErr w:type="spellEnd"/>
          </w:p>
        </w:tc>
        <w:tc>
          <w:tcPr>
            <w:tcW w:w="2268" w:type="dxa"/>
            <w:tcBorders>
              <w:top w:val="single" w:sz="4" w:space="0" w:color="BFBFBF"/>
              <w:left w:val="single" w:sz="4" w:space="0" w:color="BFBFBF"/>
              <w:bottom w:val="single" w:sz="4" w:space="0" w:color="BFBFBF"/>
              <w:right w:val="single" w:sz="4" w:space="0" w:color="BFBFBF"/>
            </w:tcBorders>
            <w:shd w:val="clear" w:color="auto" w:fill="4A6FA5"/>
          </w:tcPr>
          <w:p w14:paraId="3B06EE0F" w14:textId="77777777" w:rsidR="00E63D5B" w:rsidRDefault="001F059D">
            <w:pPr>
              <w:spacing w:after="40" w:line="240" w:lineRule="auto"/>
              <w:jc w:val="left"/>
            </w:pPr>
            <w:proofErr w:type="spellStart"/>
            <w:r>
              <w:rPr>
                <w:b/>
                <w:bCs/>
                <w:color w:val="FFFFFF"/>
                <w:sz w:val="19"/>
                <w:szCs w:val="19"/>
              </w:rPr>
              <w:t>Ποιοτικό</w:t>
            </w:r>
            <w:proofErr w:type="spellEnd"/>
            <w:r>
              <w:rPr>
                <w:b/>
                <w:bCs/>
                <w:color w:val="FFFFFF"/>
                <w:sz w:val="19"/>
                <w:szCs w:val="19"/>
              </w:rPr>
              <w:t xml:space="preserve"> </w:t>
            </w:r>
            <w:proofErr w:type="spellStart"/>
            <w:r>
              <w:rPr>
                <w:b/>
                <w:bCs/>
                <w:color w:val="FFFFFF"/>
                <w:sz w:val="19"/>
                <w:szCs w:val="19"/>
              </w:rPr>
              <w:t>σκέλος</w:t>
            </w:r>
            <w:proofErr w:type="spellEnd"/>
          </w:p>
        </w:tc>
        <w:tc>
          <w:tcPr>
            <w:tcW w:w="2268" w:type="dxa"/>
            <w:tcBorders>
              <w:top w:val="single" w:sz="4" w:space="0" w:color="BFBFBF"/>
              <w:left w:val="single" w:sz="4" w:space="0" w:color="BFBFBF"/>
              <w:bottom w:val="single" w:sz="4" w:space="0" w:color="BFBFBF"/>
              <w:right w:val="single" w:sz="4" w:space="0" w:color="BFBFBF"/>
            </w:tcBorders>
            <w:shd w:val="clear" w:color="auto" w:fill="4A6FA5"/>
          </w:tcPr>
          <w:p w14:paraId="13E777D7" w14:textId="77777777" w:rsidR="00E63D5B" w:rsidRDefault="001F059D">
            <w:pPr>
              <w:spacing w:after="40" w:line="240" w:lineRule="auto"/>
              <w:jc w:val="left"/>
            </w:pPr>
            <w:proofErr w:type="spellStart"/>
            <w:r>
              <w:rPr>
                <w:b/>
                <w:bCs/>
                <w:color w:val="FFFFFF"/>
                <w:sz w:val="19"/>
                <w:szCs w:val="19"/>
              </w:rPr>
              <w:t>Σχέση</w:t>
            </w:r>
            <w:proofErr w:type="spellEnd"/>
          </w:p>
        </w:tc>
      </w:tr>
      <w:tr w:rsidR="00E63D5B" w14:paraId="1D35A02C" w14:textId="77777777">
        <w:trPr>
          <w:cantSplit/>
          <w:jc w:val="center"/>
        </w:trPr>
        <w:tc>
          <w:tcPr>
            <w:tcW w:w="2268" w:type="dxa"/>
            <w:tcBorders>
              <w:top w:val="single" w:sz="4" w:space="0" w:color="BFBFBF"/>
              <w:left w:val="single" w:sz="4" w:space="0" w:color="BFBFBF"/>
              <w:bottom w:val="single" w:sz="4" w:space="0" w:color="BFBFBF"/>
              <w:right w:val="single" w:sz="4" w:space="0" w:color="BFBFBF"/>
            </w:tcBorders>
          </w:tcPr>
          <w:p w14:paraId="718C3832" w14:textId="77777777" w:rsidR="00E63D5B" w:rsidRDefault="001F059D">
            <w:pPr>
              <w:spacing w:after="40" w:line="240" w:lineRule="auto"/>
              <w:jc w:val="left"/>
            </w:pPr>
            <w:proofErr w:type="spellStart"/>
            <w:r>
              <w:rPr>
                <w:sz w:val="19"/>
                <w:szCs w:val="19"/>
              </w:rPr>
              <w:t>Κεντρικότητ</w:t>
            </w:r>
            <w:proofErr w:type="spellEnd"/>
            <w:r>
              <w:rPr>
                <w:sz w:val="19"/>
                <w:szCs w:val="19"/>
              </w:rPr>
              <w:t xml:space="preserve">α </w:t>
            </w:r>
            <w:proofErr w:type="spellStart"/>
            <w:r>
              <w:rPr>
                <w:sz w:val="19"/>
                <w:szCs w:val="19"/>
              </w:rPr>
              <w:t>του</w:t>
            </w:r>
            <w:proofErr w:type="spellEnd"/>
            <w:r>
              <w:rPr>
                <w:sz w:val="19"/>
                <w:szCs w:val="19"/>
              </w:rPr>
              <w:t xml:space="preserve"> </w:t>
            </w:r>
            <w:proofErr w:type="spellStart"/>
            <w:r>
              <w:rPr>
                <w:sz w:val="19"/>
                <w:szCs w:val="19"/>
              </w:rPr>
              <w:t>τρ</w:t>
            </w:r>
            <w:proofErr w:type="spellEnd"/>
            <w:r>
              <w:rPr>
                <w:sz w:val="19"/>
                <w:szCs w:val="19"/>
              </w:rPr>
              <w:t>αύματος</w:t>
            </w:r>
          </w:p>
        </w:tc>
        <w:tc>
          <w:tcPr>
            <w:tcW w:w="2357" w:type="dxa"/>
            <w:tcBorders>
              <w:top w:val="single" w:sz="4" w:space="0" w:color="BFBFBF"/>
              <w:left w:val="single" w:sz="4" w:space="0" w:color="BFBFBF"/>
              <w:bottom w:val="single" w:sz="4" w:space="0" w:color="BFBFBF"/>
              <w:right w:val="single" w:sz="4" w:space="0" w:color="BFBFBF"/>
            </w:tcBorders>
          </w:tcPr>
          <w:p w14:paraId="2B54C895" w14:textId="365B8B64" w:rsidR="00E63D5B" w:rsidRPr="00132066" w:rsidRDefault="001F059D">
            <w:pPr>
              <w:spacing w:after="40" w:line="240" w:lineRule="auto"/>
              <w:jc w:val="left"/>
              <w:rPr>
                <w:lang w:val="el-GR"/>
              </w:rPr>
            </w:pPr>
            <w:r>
              <w:rPr>
                <w:sz w:val="19"/>
                <w:szCs w:val="19"/>
                <w:lang w:val="el-GR"/>
              </w:rPr>
              <w:t xml:space="preserve">62,7% πιθανή </w:t>
            </w:r>
            <w:proofErr w:type="spellStart"/>
            <w:r>
              <w:rPr>
                <w:sz w:val="19"/>
                <w:szCs w:val="19"/>
                <w:lang w:val="el-GR"/>
              </w:rPr>
              <w:t>ΔΜΤΣ·ισχυρές</w:t>
            </w:r>
            <w:proofErr w:type="spellEnd"/>
            <w:r>
              <w:rPr>
                <w:sz w:val="19"/>
                <w:szCs w:val="19"/>
                <w:lang w:val="el-GR"/>
              </w:rPr>
              <w:t xml:space="preserve"> σχέσεις με κατάθλιψη, στρες, ποιότητα </w:t>
            </w:r>
            <w:proofErr w:type="spellStart"/>
            <w:r>
              <w:rPr>
                <w:sz w:val="19"/>
                <w:szCs w:val="19"/>
                <w:lang w:val="el-GR"/>
              </w:rPr>
              <w:t>ζωής·αρνητικές</w:t>
            </w:r>
            <w:proofErr w:type="spellEnd"/>
            <w:r>
              <w:rPr>
                <w:sz w:val="19"/>
                <w:szCs w:val="19"/>
                <w:lang w:val="el-GR"/>
              </w:rPr>
              <w:t xml:space="preserve"> </w:t>
            </w:r>
            <w:proofErr w:type="spellStart"/>
            <w:r>
              <w:rPr>
                <w:sz w:val="19"/>
                <w:szCs w:val="19"/>
                <w:lang w:val="el-GR"/>
              </w:rPr>
              <w:t>γνωσίες</w:t>
            </w:r>
            <w:proofErr w:type="spellEnd"/>
            <w:r>
              <w:rPr>
                <w:sz w:val="19"/>
                <w:szCs w:val="19"/>
                <w:lang w:val="el-GR"/>
              </w:rPr>
              <w:t xml:space="preserve"> και υπερδιέγερση οι πιο επιβαρυντικές</w:t>
            </w:r>
          </w:p>
        </w:tc>
        <w:tc>
          <w:tcPr>
            <w:tcW w:w="2268" w:type="dxa"/>
            <w:tcBorders>
              <w:top w:val="single" w:sz="4" w:space="0" w:color="BFBFBF"/>
              <w:left w:val="single" w:sz="4" w:space="0" w:color="BFBFBF"/>
              <w:bottom w:val="single" w:sz="4" w:space="0" w:color="BFBFBF"/>
              <w:right w:val="single" w:sz="4" w:space="0" w:color="BFBFBF"/>
            </w:tcBorders>
          </w:tcPr>
          <w:p w14:paraId="6E9FBDB0" w14:textId="70FF3A0A" w:rsidR="00E63D5B" w:rsidRPr="00132066" w:rsidRDefault="001F059D">
            <w:pPr>
              <w:spacing w:after="40" w:line="240" w:lineRule="auto"/>
              <w:jc w:val="left"/>
              <w:rPr>
                <w:lang w:val="el-GR"/>
              </w:rPr>
            </w:pPr>
            <w:r>
              <w:rPr>
                <w:sz w:val="19"/>
                <w:szCs w:val="19"/>
                <w:lang w:val="el-GR"/>
              </w:rPr>
              <w:t xml:space="preserve">Διάβρωση εαυτού, εμπιστοσύνης, </w:t>
            </w:r>
            <w:proofErr w:type="spellStart"/>
            <w:r>
              <w:rPr>
                <w:sz w:val="19"/>
                <w:szCs w:val="19"/>
                <w:lang w:val="el-GR"/>
              </w:rPr>
              <w:t>ασφάλειας·αυτομομφή</w:t>
            </w:r>
            <w:proofErr w:type="spellEnd"/>
            <w:r>
              <w:rPr>
                <w:sz w:val="19"/>
                <w:szCs w:val="19"/>
                <w:lang w:val="el-GR"/>
              </w:rPr>
              <w:t xml:space="preserve"> «σώμα σε διαρκή ετοιμότητα»</w:t>
            </w:r>
          </w:p>
        </w:tc>
        <w:tc>
          <w:tcPr>
            <w:tcW w:w="2268" w:type="dxa"/>
            <w:tcBorders>
              <w:top w:val="single" w:sz="4" w:space="0" w:color="BFBFBF"/>
              <w:left w:val="single" w:sz="4" w:space="0" w:color="BFBFBF"/>
              <w:bottom w:val="single" w:sz="4" w:space="0" w:color="BFBFBF"/>
              <w:right w:val="single" w:sz="4" w:space="0" w:color="BFBFBF"/>
            </w:tcBorders>
          </w:tcPr>
          <w:p w14:paraId="013D06AC" w14:textId="77777777" w:rsidR="00E63D5B" w:rsidRDefault="001F059D">
            <w:pPr>
              <w:spacing w:after="40" w:line="240" w:lineRule="auto"/>
              <w:jc w:val="left"/>
            </w:pPr>
            <w:proofErr w:type="spellStart"/>
            <w:r>
              <w:rPr>
                <w:sz w:val="19"/>
                <w:szCs w:val="19"/>
              </w:rPr>
              <w:t>Ισχυρή</w:t>
            </w:r>
            <w:proofErr w:type="spellEnd"/>
            <w:r>
              <w:rPr>
                <w:sz w:val="19"/>
                <w:szCs w:val="19"/>
              </w:rPr>
              <w:t xml:space="preserve"> </w:t>
            </w:r>
            <w:proofErr w:type="spellStart"/>
            <w:r>
              <w:rPr>
                <w:sz w:val="19"/>
                <w:szCs w:val="19"/>
              </w:rPr>
              <w:t>σύγκλιση</w:t>
            </w:r>
            <w:proofErr w:type="spellEnd"/>
          </w:p>
        </w:tc>
      </w:tr>
      <w:tr w:rsidR="00E63D5B" w:rsidRPr="00D84B1E" w14:paraId="3F4C04B7" w14:textId="77777777">
        <w:trPr>
          <w:cantSplit/>
          <w:jc w:val="center"/>
        </w:trPr>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2D4E677E" w14:textId="77777777" w:rsidR="00E63D5B" w:rsidRDefault="001F059D">
            <w:pPr>
              <w:spacing w:after="40" w:line="240" w:lineRule="auto"/>
              <w:jc w:val="left"/>
            </w:pPr>
            <w:r>
              <w:rPr>
                <w:sz w:val="19"/>
                <w:szCs w:val="19"/>
              </w:rPr>
              <w:t>Αβ</w:t>
            </w:r>
            <w:proofErr w:type="spellStart"/>
            <w:r>
              <w:rPr>
                <w:sz w:val="19"/>
                <w:szCs w:val="19"/>
              </w:rPr>
              <w:t>οηθητότητ</w:t>
            </w:r>
            <w:proofErr w:type="spellEnd"/>
            <w:r>
              <w:rPr>
                <w:sz w:val="19"/>
                <w:szCs w:val="19"/>
              </w:rPr>
              <w:t>α και α</w:t>
            </w:r>
            <w:proofErr w:type="spellStart"/>
            <w:r>
              <w:rPr>
                <w:sz w:val="19"/>
                <w:szCs w:val="19"/>
              </w:rPr>
              <w:t>υτενέργει</w:t>
            </w:r>
            <w:proofErr w:type="spellEnd"/>
            <w:r>
              <w:rPr>
                <w:sz w:val="19"/>
                <w:szCs w:val="19"/>
              </w:rPr>
              <w:t>α</w:t>
            </w:r>
          </w:p>
        </w:tc>
        <w:tc>
          <w:tcPr>
            <w:tcW w:w="2357" w:type="dxa"/>
            <w:tcBorders>
              <w:top w:val="single" w:sz="4" w:space="0" w:color="BFBFBF"/>
              <w:left w:val="single" w:sz="4" w:space="0" w:color="BFBFBF"/>
              <w:bottom w:val="single" w:sz="4" w:space="0" w:color="BFBFBF"/>
              <w:right w:val="single" w:sz="4" w:space="0" w:color="BFBFBF"/>
            </w:tcBorders>
            <w:shd w:val="clear" w:color="auto" w:fill="F3F6FA"/>
          </w:tcPr>
          <w:p w14:paraId="33E511E5" w14:textId="77777777" w:rsidR="00E63D5B" w:rsidRPr="00132066" w:rsidRDefault="001F059D">
            <w:pPr>
              <w:spacing w:after="40" w:line="240" w:lineRule="auto"/>
              <w:jc w:val="left"/>
              <w:rPr>
                <w:lang w:val="el-GR"/>
              </w:rPr>
            </w:pPr>
            <w:r>
              <w:rPr>
                <w:sz w:val="19"/>
                <w:szCs w:val="19"/>
                <w:lang w:val="el-GR"/>
              </w:rPr>
              <w:t xml:space="preserve">Η βία συνδέεται με </w:t>
            </w:r>
            <w:proofErr w:type="spellStart"/>
            <w:r>
              <w:rPr>
                <w:sz w:val="19"/>
                <w:szCs w:val="19"/>
                <w:lang w:val="el-GR"/>
              </w:rPr>
              <w:t>αβοηθητότητα</w:t>
            </w:r>
            <w:proofErr w:type="spellEnd"/>
            <w:r>
              <w:rPr>
                <w:sz w:val="19"/>
                <w:szCs w:val="19"/>
                <w:lang w:val="el-GR"/>
              </w:rPr>
              <w:t xml:space="preserve">, όχι με έλλειψη </w:t>
            </w:r>
            <w:proofErr w:type="spellStart"/>
            <w:r>
              <w:rPr>
                <w:sz w:val="19"/>
                <w:szCs w:val="19"/>
                <w:lang w:val="el-GR"/>
              </w:rPr>
              <w:t>αυτοαποτελεσματικότητας·το</w:t>
            </w:r>
            <w:proofErr w:type="spellEnd"/>
            <w:r>
              <w:rPr>
                <w:sz w:val="19"/>
                <w:szCs w:val="19"/>
                <w:lang w:val="el-GR"/>
              </w:rPr>
              <w:t xml:space="preserve"> στρες διαμεσολαβεί την κατάθλιψη</w:t>
            </w:r>
          </w:p>
        </w:tc>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75EC5A76" w14:textId="77777777" w:rsidR="00E63D5B" w:rsidRPr="00132066" w:rsidRDefault="001F059D">
            <w:pPr>
              <w:spacing w:after="40" w:line="240" w:lineRule="auto"/>
              <w:jc w:val="left"/>
              <w:rPr>
                <w:lang w:val="el-GR"/>
              </w:rPr>
            </w:pPr>
            <w:r>
              <w:rPr>
                <w:sz w:val="19"/>
                <w:szCs w:val="19"/>
                <w:lang w:val="el-GR"/>
              </w:rPr>
              <w:t xml:space="preserve">Εξαναγκαστικός έλεγχος, απομόνωση, οικονομική </w:t>
            </w:r>
            <w:proofErr w:type="spellStart"/>
            <w:r>
              <w:rPr>
                <w:sz w:val="19"/>
                <w:szCs w:val="19"/>
                <w:lang w:val="el-GR"/>
              </w:rPr>
              <w:t>εξάρτηση·ενεργητικές</w:t>
            </w:r>
            <w:proofErr w:type="spellEnd"/>
            <w:r>
              <w:rPr>
                <w:sz w:val="19"/>
                <w:szCs w:val="19"/>
                <w:lang w:val="el-GR"/>
              </w:rPr>
              <w:t xml:space="preserve"> στρατηγικές επιβίωσης</w:t>
            </w:r>
          </w:p>
        </w:tc>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07576861" w14:textId="77777777" w:rsidR="00E63D5B" w:rsidRPr="00132066" w:rsidRDefault="001F059D">
            <w:pPr>
              <w:spacing w:after="40" w:line="240" w:lineRule="auto"/>
              <w:jc w:val="left"/>
              <w:rPr>
                <w:lang w:val="el-GR"/>
              </w:rPr>
            </w:pPr>
            <w:r>
              <w:rPr>
                <w:sz w:val="19"/>
                <w:szCs w:val="19"/>
                <w:lang w:val="el-GR"/>
              </w:rPr>
              <w:t xml:space="preserve">Σύγκλιση και συμπληρωματικότητα: η </w:t>
            </w:r>
            <w:proofErr w:type="spellStart"/>
            <w:r>
              <w:rPr>
                <w:sz w:val="19"/>
                <w:szCs w:val="19"/>
                <w:lang w:val="el-GR"/>
              </w:rPr>
              <w:t>αβοηθητότητα</w:t>
            </w:r>
            <w:proofErr w:type="spellEnd"/>
            <w:r>
              <w:rPr>
                <w:sz w:val="19"/>
                <w:szCs w:val="19"/>
                <w:lang w:val="el-GR"/>
              </w:rPr>
              <w:t xml:space="preserve"> συνυπάρχει με τη δράση</w:t>
            </w:r>
          </w:p>
        </w:tc>
      </w:tr>
      <w:tr w:rsidR="00E63D5B" w14:paraId="7594B67F" w14:textId="77777777">
        <w:trPr>
          <w:cantSplit/>
          <w:jc w:val="center"/>
        </w:trPr>
        <w:tc>
          <w:tcPr>
            <w:tcW w:w="2268" w:type="dxa"/>
            <w:tcBorders>
              <w:top w:val="single" w:sz="4" w:space="0" w:color="BFBFBF"/>
              <w:left w:val="single" w:sz="4" w:space="0" w:color="BFBFBF"/>
              <w:bottom w:val="single" w:sz="4" w:space="0" w:color="BFBFBF"/>
              <w:right w:val="single" w:sz="4" w:space="0" w:color="BFBFBF"/>
            </w:tcBorders>
          </w:tcPr>
          <w:p w14:paraId="625DB227" w14:textId="77777777" w:rsidR="00E63D5B" w:rsidRDefault="001F059D">
            <w:pPr>
              <w:spacing w:after="40" w:line="240" w:lineRule="auto"/>
              <w:jc w:val="left"/>
            </w:pPr>
            <w:proofErr w:type="spellStart"/>
            <w:r>
              <w:rPr>
                <w:sz w:val="19"/>
                <w:szCs w:val="19"/>
              </w:rPr>
              <w:t>Υλικός</w:t>
            </w:r>
            <w:proofErr w:type="spellEnd"/>
            <w:r>
              <w:rPr>
                <w:sz w:val="19"/>
                <w:szCs w:val="19"/>
              </w:rPr>
              <w:t xml:space="preserve"> </w:t>
            </w:r>
            <w:proofErr w:type="spellStart"/>
            <w:r>
              <w:rPr>
                <w:sz w:val="19"/>
                <w:szCs w:val="19"/>
              </w:rPr>
              <w:t>εγκλω</w:t>
            </w:r>
            <w:proofErr w:type="spellEnd"/>
            <w:r>
              <w:rPr>
                <w:sz w:val="19"/>
                <w:szCs w:val="19"/>
              </w:rPr>
              <w:t>βισμός</w:t>
            </w:r>
          </w:p>
        </w:tc>
        <w:tc>
          <w:tcPr>
            <w:tcW w:w="2357" w:type="dxa"/>
            <w:tcBorders>
              <w:top w:val="single" w:sz="4" w:space="0" w:color="BFBFBF"/>
              <w:left w:val="single" w:sz="4" w:space="0" w:color="BFBFBF"/>
              <w:bottom w:val="single" w:sz="4" w:space="0" w:color="BFBFBF"/>
              <w:right w:val="single" w:sz="4" w:space="0" w:color="BFBFBF"/>
            </w:tcBorders>
          </w:tcPr>
          <w:p w14:paraId="3F885B8F" w14:textId="77777777" w:rsidR="00E63D5B" w:rsidRPr="00132066" w:rsidRDefault="001F059D">
            <w:pPr>
              <w:spacing w:after="40" w:line="240" w:lineRule="auto"/>
              <w:jc w:val="left"/>
              <w:rPr>
                <w:lang w:val="el-GR"/>
              </w:rPr>
            </w:pPr>
            <w:r>
              <w:rPr>
                <w:sz w:val="19"/>
                <w:szCs w:val="19"/>
                <w:lang w:val="el-GR"/>
              </w:rPr>
              <w:t>Χαμηλότερη περιβαλλοντική ποιότητα ζωής με ΔΜΤΣ και με βία</w:t>
            </w:r>
          </w:p>
        </w:tc>
        <w:tc>
          <w:tcPr>
            <w:tcW w:w="2268" w:type="dxa"/>
            <w:tcBorders>
              <w:top w:val="single" w:sz="4" w:space="0" w:color="BFBFBF"/>
              <w:left w:val="single" w:sz="4" w:space="0" w:color="BFBFBF"/>
              <w:bottom w:val="single" w:sz="4" w:space="0" w:color="BFBFBF"/>
              <w:right w:val="single" w:sz="4" w:space="0" w:color="BFBFBF"/>
            </w:tcBorders>
          </w:tcPr>
          <w:p w14:paraId="6D2D4B2C" w14:textId="77777777" w:rsidR="00E63D5B" w:rsidRPr="00132066" w:rsidRDefault="001F059D">
            <w:pPr>
              <w:spacing w:after="40" w:line="240" w:lineRule="auto"/>
              <w:jc w:val="left"/>
              <w:rPr>
                <w:lang w:val="el-GR"/>
              </w:rPr>
            </w:pPr>
            <w:r>
              <w:rPr>
                <w:sz w:val="19"/>
                <w:szCs w:val="19"/>
                <w:lang w:val="el-GR"/>
              </w:rPr>
              <w:t>Στέγαση, οικονομική εξάρτηση, επιμέλεια, στίγμα ως πραγματικοί περιορισμοί</w:t>
            </w:r>
          </w:p>
        </w:tc>
        <w:tc>
          <w:tcPr>
            <w:tcW w:w="2268" w:type="dxa"/>
            <w:tcBorders>
              <w:top w:val="single" w:sz="4" w:space="0" w:color="BFBFBF"/>
              <w:left w:val="single" w:sz="4" w:space="0" w:color="BFBFBF"/>
              <w:bottom w:val="single" w:sz="4" w:space="0" w:color="BFBFBF"/>
              <w:right w:val="single" w:sz="4" w:space="0" w:color="BFBFBF"/>
            </w:tcBorders>
          </w:tcPr>
          <w:p w14:paraId="7DA9C919" w14:textId="77777777" w:rsidR="00E63D5B" w:rsidRDefault="001F059D">
            <w:pPr>
              <w:spacing w:after="40" w:line="240" w:lineRule="auto"/>
              <w:jc w:val="left"/>
            </w:pPr>
            <w:proofErr w:type="spellStart"/>
            <w:r>
              <w:rPr>
                <w:sz w:val="19"/>
                <w:szCs w:val="19"/>
              </w:rPr>
              <w:t>Σύγκλιση</w:t>
            </w:r>
            <w:proofErr w:type="spellEnd"/>
          </w:p>
        </w:tc>
      </w:tr>
      <w:tr w:rsidR="00E63D5B" w:rsidRPr="00D84B1E" w14:paraId="6B46595F" w14:textId="77777777">
        <w:trPr>
          <w:cantSplit/>
          <w:jc w:val="center"/>
        </w:trPr>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652A0E0F" w14:textId="77777777" w:rsidR="00E63D5B" w:rsidRDefault="001F059D">
            <w:pPr>
              <w:spacing w:after="40" w:line="240" w:lineRule="auto"/>
              <w:jc w:val="left"/>
            </w:pPr>
            <w:proofErr w:type="spellStart"/>
            <w:r>
              <w:rPr>
                <w:sz w:val="19"/>
                <w:szCs w:val="19"/>
              </w:rPr>
              <w:t>Δι</w:t>
            </w:r>
            <w:proofErr w:type="spellEnd"/>
            <w:r>
              <w:rPr>
                <w:sz w:val="19"/>
                <w:szCs w:val="19"/>
              </w:rPr>
              <w:t xml:space="preserve">αγενεακή </w:t>
            </w:r>
            <w:proofErr w:type="spellStart"/>
            <w:r>
              <w:rPr>
                <w:sz w:val="19"/>
                <w:szCs w:val="19"/>
              </w:rPr>
              <w:t>συνέχει</w:t>
            </w:r>
            <w:proofErr w:type="spellEnd"/>
            <w:r>
              <w:rPr>
                <w:sz w:val="19"/>
                <w:szCs w:val="19"/>
              </w:rPr>
              <w:t>α</w:t>
            </w:r>
          </w:p>
        </w:tc>
        <w:tc>
          <w:tcPr>
            <w:tcW w:w="2357" w:type="dxa"/>
            <w:tcBorders>
              <w:top w:val="single" w:sz="4" w:space="0" w:color="BFBFBF"/>
              <w:left w:val="single" w:sz="4" w:space="0" w:color="BFBFBF"/>
              <w:bottom w:val="single" w:sz="4" w:space="0" w:color="BFBFBF"/>
              <w:right w:val="single" w:sz="4" w:space="0" w:color="BFBFBF"/>
            </w:tcBorders>
            <w:shd w:val="clear" w:color="auto" w:fill="F3F6FA"/>
          </w:tcPr>
          <w:p w14:paraId="196A5342" w14:textId="77777777" w:rsidR="00E63D5B" w:rsidRPr="00132066" w:rsidRDefault="001F059D">
            <w:pPr>
              <w:spacing w:after="40" w:line="240" w:lineRule="auto"/>
              <w:jc w:val="left"/>
              <w:rPr>
                <w:lang w:val="el-GR"/>
              </w:rPr>
            </w:pPr>
            <w:r>
              <w:rPr>
                <w:sz w:val="19"/>
                <w:szCs w:val="19"/>
                <w:lang w:val="el-GR"/>
              </w:rPr>
              <w:t xml:space="preserve">Πρώιμο διαπροσωπικό τραύμα → ΔΜΤΣ·ΔΜΤΣ μητέρας → υπερπροστασία, αγχώδης </w:t>
            </w:r>
            <w:proofErr w:type="spellStart"/>
            <w:r>
              <w:rPr>
                <w:sz w:val="19"/>
                <w:szCs w:val="19"/>
                <w:lang w:val="el-GR"/>
              </w:rPr>
              <w:t>ανατροφή·βία</w:t>
            </w:r>
            <w:proofErr w:type="spellEnd"/>
            <w:r>
              <w:rPr>
                <w:sz w:val="19"/>
                <w:szCs w:val="19"/>
                <w:lang w:val="el-GR"/>
              </w:rPr>
              <w:t xml:space="preserve"> μητέρας ↔ έκθεση παιδιού</w:t>
            </w:r>
          </w:p>
        </w:tc>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1F08BD7B" w14:textId="77777777" w:rsidR="00E63D5B" w:rsidRPr="00132066" w:rsidRDefault="001F059D">
            <w:pPr>
              <w:spacing w:after="40" w:line="240" w:lineRule="auto"/>
              <w:jc w:val="left"/>
              <w:rPr>
                <w:lang w:val="el-GR"/>
              </w:rPr>
            </w:pPr>
            <w:r>
              <w:rPr>
                <w:sz w:val="19"/>
                <w:szCs w:val="19"/>
                <w:lang w:val="el-GR"/>
              </w:rPr>
              <w:t xml:space="preserve">Οικογενειακά σενάρια, σιωπές, </w:t>
            </w:r>
            <w:proofErr w:type="spellStart"/>
            <w:r>
              <w:rPr>
                <w:sz w:val="19"/>
                <w:szCs w:val="19"/>
                <w:lang w:val="el-GR"/>
              </w:rPr>
              <w:t>έμφυλα</w:t>
            </w:r>
            <w:proofErr w:type="spellEnd"/>
            <w:r>
              <w:rPr>
                <w:sz w:val="19"/>
                <w:szCs w:val="19"/>
                <w:lang w:val="el-GR"/>
              </w:rPr>
              <w:t xml:space="preserve"> «</w:t>
            </w:r>
            <w:proofErr w:type="spellStart"/>
            <w:r>
              <w:rPr>
                <w:sz w:val="19"/>
                <w:szCs w:val="19"/>
                <w:lang w:val="el-GR"/>
              </w:rPr>
              <w:t>πρέπει»·αποκλίνουσες</w:t>
            </w:r>
            <w:proofErr w:type="spellEnd"/>
            <w:r>
              <w:rPr>
                <w:sz w:val="19"/>
                <w:szCs w:val="19"/>
                <w:lang w:val="el-GR"/>
              </w:rPr>
              <w:t xml:space="preserve"> περιπτώσεις και θετικές κληρονομιές</w:t>
            </w:r>
          </w:p>
        </w:tc>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2D59DB7F" w14:textId="0A62931D" w:rsidR="00E63D5B" w:rsidRPr="00132066" w:rsidRDefault="001F059D">
            <w:pPr>
              <w:spacing w:after="40" w:line="240" w:lineRule="auto"/>
              <w:jc w:val="left"/>
              <w:rPr>
                <w:lang w:val="el-GR"/>
              </w:rPr>
            </w:pPr>
            <w:proofErr w:type="spellStart"/>
            <w:r>
              <w:rPr>
                <w:sz w:val="19"/>
                <w:szCs w:val="19"/>
                <w:lang w:val="el-GR"/>
              </w:rPr>
              <w:t>Σύγκλιση·το</w:t>
            </w:r>
            <w:proofErr w:type="spellEnd"/>
            <w:r>
              <w:rPr>
                <w:sz w:val="19"/>
                <w:szCs w:val="19"/>
                <w:lang w:val="el-GR"/>
              </w:rPr>
              <w:t xml:space="preserve"> ποιοτικό εξηγεί τους μηχανισμούς</w:t>
            </w:r>
          </w:p>
        </w:tc>
      </w:tr>
      <w:tr w:rsidR="00E63D5B" w14:paraId="19EE2120" w14:textId="77777777">
        <w:trPr>
          <w:cantSplit/>
          <w:jc w:val="center"/>
        </w:trPr>
        <w:tc>
          <w:tcPr>
            <w:tcW w:w="2268" w:type="dxa"/>
            <w:tcBorders>
              <w:top w:val="single" w:sz="4" w:space="0" w:color="BFBFBF"/>
              <w:left w:val="single" w:sz="4" w:space="0" w:color="BFBFBF"/>
              <w:bottom w:val="single" w:sz="4" w:space="0" w:color="BFBFBF"/>
              <w:right w:val="single" w:sz="4" w:space="0" w:color="BFBFBF"/>
            </w:tcBorders>
          </w:tcPr>
          <w:p w14:paraId="04DF813C" w14:textId="77777777" w:rsidR="00E63D5B" w:rsidRDefault="001F059D">
            <w:pPr>
              <w:spacing w:after="40" w:line="240" w:lineRule="auto"/>
              <w:jc w:val="left"/>
            </w:pPr>
            <w:r>
              <w:rPr>
                <w:sz w:val="19"/>
                <w:szCs w:val="19"/>
              </w:rPr>
              <w:t>Πα</w:t>
            </w:r>
            <w:proofErr w:type="spellStart"/>
            <w:r>
              <w:rPr>
                <w:sz w:val="19"/>
                <w:szCs w:val="19"/>
              </w:rPr>
              <w:t>ιδιά</w:t>
            </w:r>
            <w:proofErr w:type="spellEnd"/>
          </w:p>
        </w:tc>
        <w:tc>
          <w:tcPr>
            <w:tcW w:w="2357" w:type="dxa"/>
            <w:tcBorders>
              <w:top w:val="single" w:sz="4" w:space="0" w:color="BFBFBF"/>
              <w:left w:val="single" w:sz="4" w:space="0" w:color="BFBFBF"/>
              <w:bottom w:val="single" w:sz="4" w:space="0" w:color="BFBFBF"/>
              <w:right w:val="single" w:sz="4" w:space="0" w:color="BFBFBF"/>
            </w:tcBorders>
          </w:tcPr>
          <w:p w14:paraId="0D6D87AF" w14:textId="77777777" w:rsidR="00E63D5B" w:rsidRPr="00132066" w:rsidRDefault="001F059D">
            <w:pPr>
              <w:spacing w:after="40" w:line="240" w:lineRule="auto"/>
              <w:jc w:val="left"/>
              <w:rPr>
                <w:lang w:val="el-GR"/>
              </w:rPr>
            </w:pPr>
            <w:r>
              <w:rPr>
                <w:sz w:val="19"/>
                <w:szCs w:val="19"/>
                <w:lang w:val="el-GR"/>
              </w:rPr>
              <w:t xml:space="preserve">Περισσότερες δυσκολίες με ΔΜΤΣ, στρες, χαμηλή ποιότητα ζωής της μητέρας (αναφορές μητέρων)·όχι με μορφή </w:t>
            </w:r>
            <w:proofErr w:type="spellStart"/>
            <w:r>
              <w:rPr>
                <w:sz w:val="19"/>
                <w:szCs w:val="19"/>
                <w:lang w:val="el-GR"/>
              </w:rPr>
              <w:t>βίας·έφηβοι</w:t>
            </w:r>
            <w:proofErr w:type="spellEnd"/>
            <w:r>
              <w:rPr>
                <w:sz w:val="19"/>
                <w:szCs w:val="19"/>
                <w:lang w:val="el-GR"/>
              </w:rPr>
              <w:t>/ες δεν επιβεβαιώνουν</w:t>
            </w:r>
          </w:p>
        </w:tc>
        <w:tc>
          <w:tcPr>
            <w:tcW w:w="2268" w:type="dxa"/>
            <w:tcBorders>
              <w:top w:val="single" w:sz="4" w:space="0" w:color="BFBFBF"/>
              <w:left w:val="single" w:sz="4" w:space="0" w:color="BFBFBF"/>
              <w:bottom w:val="single" w:sz="4" w:space="0" w:color="BFBFBF"/>
              <w:right w:val="single" w:sz="4" w:space="0" w:color="BFBFBF"/>
            </w:tcBorders>
          </w:tcPr>
          <w:p w14:paraId="3DFAF07C" w14:textId="77777777" w:rsidR="00E63D5B" w:rsidRPr="00132066" w:rsidRDefault="001F059D">
            <w:pPr>
              <w:spacing w:after="40" w:line="240" w:lineRule="auto"/>
              <w:jc w:val="left"/>
              <w:rPr>
                <w:lang w:val="el-GR"/>
              </w:rPr>
            </w:pPr>
            <w:r>
              <w:rPr>
                <w:sz w:val="19"/>
                <w:szCs w:val="19"/>
                <w:lang w:val="el-GR"/>
              </w:rPr>
              <w:t>Τα παιδιά βλέπουν, φροντίζουν, μιμούνται, αντιστέκονται, μιλούν</w:t>
            </w:r>
          </w:p>
        </w:tc>
        <w:tc>
          <w:tcPr>
            <w:tcW w:w="2268" w:type="dxa"/>
            <w:tcBorders>
              <w:top w:val="single" w:sz="4" w:space="0" w:color="BFBFBF"/>
              <w:left w:val="single" w:sz="4" w:space="0" w:color="BFBFBF"/>
              <w:bottom w:val="single" w:sz="4" w:space="0" w:color="BFBFBF"/>
              <w:right w:val="single" w:sz="4" w:space="0" w:color="BFBFBF"/>
            </w:tcBorders>
          </w:tcPr>
          <w:p w14:paraId="5EE88974" w14:textId="02B26E38" w:rsidR="00E63D5B" w:rsidRDefault="001F059D">
            <w:pPr>
              <w:spacing w:after="40" w:line="240" w:lineRule="auto"/>
              <w:jc w:val="left"/>
            </w:pPr>
            <w:proofErr w:type="spellStart"/>
            <w:r>
              <w:rPr>
                <w:sz w:val="19"/>
                <w:szCs w:val="19"/>
              </w:rPr>
              <w:t>Συμ</w:t>
            </w:r>
            <w:proofErr w:type="spellEnd"/>
            <w:r>
              <w:rPr>
                <w:sz w:val="19"/>
                <w:szCs w:val="19"/>
              </w:rPr>
              <w:t>πληρωματικότητα απ</w:t>
            </w:r>
            <w:proofErr w:type="spellStart"/>
            <w:r>
              <w:rPr>
                <w:sz w:val="19"/>
                <w:szCs w:val="19"/>
              </w:rPr>
              <w:t>όκλιση</w:t>
            </w:r>
            <w:proofErr w:type="spellEnd"/>
            <w:r>
              <w:rPr>
                <w:sz w:val="19"/>
                <w:szCs w:val="19"/>
              </w:rPr>
              <w:t xml:space="preserve"> </w:t>
            </w:r>
            <w:proofErr w:type="spellStart"/>
            <w:r>
              <w:rPr>
                <w:sz w:val="19"/>
                <w:szCs w:val="19"/>
              </w:rPr>
              <w:t>μετ</w:t>
            </w:r>
            <w:proofErr w:type="spellEnd"/>
            <w:r>
              <w:rPr>
                <w:sz w:val="19"/>
                <w:szCs w:val="19"/>
              </w:rPr>
              <w:t>αξύ π</w:t>
            </w:r>
            <w:proofErr w:type="spellStart"/>
            <w:r>
              <w:rPr>
                <w:sz w:val="19"/>
                <w:szCs w:val="19"/>
              </w:rPr>
              <w:t>ληροφοριοδοτών</w:t>
            </w:r>
            <w:proofErr w:type="spellEnd"/>
          </w:p>
        </w:tc>
      </w:tr>
      <w:tr w:rsidR="00E63D5B" w14:paraId="6063503D" w14:textId="77777777">
        <w:trPr>
          <w:cantSplit/>
          <w:jc w:val="center"/>
        </w:trPr>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5F79975F" w14:textId="77777777" w:rsidR="00E63D5B" w:rsidRDefault="001F059D">
            <w:pPr>
              <w:spacing w:after="40" w:line="240" w:lineRule="auto"/>
              <w:jc w:val="left"/>
            </w:pPr>
            <w:proofErr w:type="spellStart"/>
            <w:r>
              <w:rPr>
                <w:sz w:val="19"/>
                <w:szCs w:val="19"/>
              </w:rPr>
              <w:t>Μητρότητ</w:t>
            </w:r>
            <w:proofErr w:type="spellEnd"/>
            <w:r>
              <w:rPr>
                <w:sz w:val="19"/>
                <w:szCs w:val="19"/>
              </w:rPr>
              <w:t>α</w:t>
            </w:r>
          </w:p>
        </w:tc>
        <w:tc>
          <w:tcPr>
            <w:tcW w:w="2357" w:type="dxa"/>
            <w:tcBorders>
              <w:top w:val="single" w:sz="4" w:space="0" w:color="BFBFBF"/>
              <w:left w:val="single" w:sz="4" w:space="0" w:color="BFBFBF"/>
              <w:bottom w:val="single" w:sz="4" w:space="0" w:color="BFBFBF"/>
              <w:right w:val="single" w:sz="4" w:space="0" w:color="BFBFBF"/>
            </w:tcBorders>
            <w:shd w:val="clear" w:color="auto" w:fill="F3F6FA"/>
          </w:tcPr>
          <w:p w14:paraId="56B1140B" w14:textId="77777777" w:rsidR="00E63D5B" w:rsidRPr="00132066" w:rsidRDefault="001F059D">
            <w:pPr>
              <w:spacing w:after="40" w:line="240" w:lineRule="auto"/>
              <w:jc w:val="left"/>
              <w:rPr>
                <w:lang w:val="el-GR"/>
              </w:rPr>
            </w:pPr>
            <w:r>
              <w:rPr>
                <w:sz w:val="19"/>
                <w:szCs w:val="19"/>
                <w:lang w:val="el-GR"/>
              </w:rPr>
              <w:t>Διατήρηση ζεστασιάς παρά τη ΔΜΤΣ</w:t>
            </w:r>
          </w:p>
        </w:tc>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625ABF7D" w14:textId="77777777" w:rsidR="00E63D5B" w:rsidRPr="00132066" w:rsidRDefault="001F059D">
            <w:pPr>
              <w:spacing w:after="40" w:line="240" w:lineRule="auto"/>
              <w:jc w:val="left"/>
              <w:rPr>
                <w:lang w:val="el-GR"/>
              </w:rPr>
            </w:pPr>
            <w:r>
              <w:rPr>
                <w:sz w:val="19"/>
                <w:szCs w:val="19"/>
                <w:lang w:val="el-GR"/>
              </w:rPr>
              <w:t xml:space="preserve">Επανόρθωση, </w:t>
            </w:r>
            <w:proofErr w:type="spellStart"/>
            <w:r>
              <w:rPr>
                <w:sz w:val="19"/>
                <w:szCs w:val="19"/>
                <w:lang w:val="el-GR"/>
              </w:rPr>
              <w:t>υπερευθύνη</w:t>
            </w:r>
            <w:proofErr w:type="spellEnd"/>
            <w:r>
              <w:rPr>
                <w:sz w:val="19"/>
                <w:szCs w:val="19"/>
                <w:lang w:val="el-GR"/>
              </w:rPr>
              <w:t>, φόβος μετάδοσης, κίνητρο ρήξης</w:t>
            </w:r>
          </w:p>
        </w:tc>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4E7101EA" w14:textId="77777777" w:rsidR="00E63D5B" w:rsidRDefault="001F059D">
            <w:pPr>
              <w:spacing w:after="40" w:line="240" w:lineRule="auto"/>
              <w:jc w:val="left"/>
            </w:pPr>
            <w:proofErr w:type="spellStart"/>
            <w:r>
              <w:rPr>
                <w:sz w:val="19"/>
                <w:szCs w:val="19"/>
              </w:rPr>
              <w:t>Σύγκλιση</w:t>
            </w:r>
            <w:proofErr w:type="spellEnd"/>
          </w:p>
        </w:tc>
      </w:tr>
      <w:tr w:rsidR="00E63D5B" w:rsidRPr="00D84B1E" w14:paraId="1D441A6C" w14:textId="77777777">
        <w:trPr>
          <w:cantSplit/>
          <w:jc w:val="center"/>
        </w:trPr>
        <w:tc>
          <w:tcPr>
            <w:tcW w:w="2268" w:type="dxa"/>
            <w:tcBorders>
              <w:top w:val="single" w:sz="4" w:space="0" w:color="BFBFBF"/>
              <w:left w:val="single" w:sz="4" w:space="0" w:color="BFBFBF"/>
              <w:bottom w:val="single" w:sz="4" w:space="0" w:color="BFBFBF"/>
              <w:right w:val="single" w:sz="4" w:space="0" w:color="BFBFBF"/>
            </w:tcBorders>
          </w:tcPr>
          <w:p w14:paraId="5D0A1305" w14:textId="77777777" w:rsidR="00E63D5B" w:rsidRDefault="001F059D">
            <w:pPr>
              <w:spacing w:after="40" w:line="240" w:lineRule="auto"/>
              <w:jc w:val="left"/>
            </w:pPr>
            <w:proofErr w:type="spellStart"/>
            <w:r>
              <w:rPr>
                <w:sz w:val="19"/>
                <w:szCs w:val="19"/>
              </w:rPr>
              <w:t>Μετ</w:t>
            </w:r>
            <w:proofErr w:type="spellEnd"/>
            <w:r>
              <w:rPr>
                <w:sz w:val="19"/>
                <w:szCs w:val="19"/>
              </w:rPr>
              <w:t>ανάστριες</w:t>
            </w:r>
          </w:p>
        </w:tc>
        <w:tc>
          <w:tcPr>
            <w:tcW w:w="2357" w:type="dxa"/>
            <w:tcBorders>
              <w:top w:val="single" w:sz="4" w:space="0" w:color="BFBFBF"/>
              <w:left w:val="single" w:sz="4" w:space="0" w:color="BFBFBF"/>
              <w:bottom w:val="single" w:sz="4" w:space="0" w:color="BFBFBF"/>
              <w:right w:val="single" w:sz="4" w:space="0" w:color="BFBFBF"/>
            </w:tcBorders>
          </w:tcPr>
          <w:p w14:paraId="66887F01" w14:textId="77777777" w:rsidR="00E63D5B" w:rsidRPr="00132066" w:rsidRDefault="001F059D">
            <w:pPr>
              <w:spacing w:after="40" w:line="240" w:lineRule="auto"/>
              <w:jc w:val="left"/>
              <w:rPr>
                <w:lang w:val="el-GR"/>
              </w:rPr>
            </w:pPr>
            <w:r>
              <w:rPr>
                <w:sz w:val="19"/>
                <w:szCs w:val="19"/>
                <w:lang w:val="el-GR"/>
              </w:rPr>
              <w:t>Χειρότερη οικονομική θέση, όχι χειρότερο ψυχολογικό προφίλ</w:t>
            </w:r>
          </w:p>
        </w:tc>
        <w:tc>
          <w:tcPr>
            <w:tcW w:w="2268" w:type="dxa"/>
            <w:tcBorders>
              <w:top w:val="single" w:sz="4" w:space="0" w:color="BFBFBF"/>
              <w:left w:val="single" w:sz="4" w:space="0" w:color="BFBFBF"/>
              <w:bottom w:val="single" w:sz="4" w:space="0" w:color="BFBFBF"/>
              <w:right w:val="single" w:sz="4" w:space="0" w:color="BFBFBF"/>
            </w:tcBorders>
          </w:tcPr>
          <w:p w14:paraId="1D7D418D" w14:textId="77777777" w:rsidR="00E63D5B" w:rsidRDefault="001F059D">
            <w:pPr>
              <w:spacing w:after="40" w:line="240" w:lineRule="auto"/>
              <w:jc w:val="left"/>
            </w:pPr>
            <w:proofErr w:type="spellStart"/>
            <w:r>
              <w:rPr>
                <w:sz w:val="19"/>
                <w:szCs w:val="19"/>
              </w:rPr>
              <w:t>Γλωσσικοί</w:t>
            </w:r>
            <w:proofErr w:type="spellEnd"/>
            <w:r>
              <w:rPr>
                <w:sz w:val="19"/>
                <w:szCs w:val="19"/>
              </w:rPr>
              <w:t xml:space="preserve">, </w:t>
            </w:r>
            <w:proofErr w:type="spellStart"/>
            <w:r>
              <w:rPr>
                <w:sz w:val="19"/>
                <w:szCs w:val="19"/>
              </w:rPr>
              <w:t>νομικοί</w:t>
            </w:r>
            <w:proofErr w:type="spellEnd"/>
            <w:r>
              <w:rPr>
                <w:sz w:val="19"/>
                <w:szCs w:val="19"/>
              </w:rPr>
              <w:t xml:space="preserve">, </w:t>
            </w:r>
            <w:proofErr w:type="spellStart"/>
            <w:r>
              <w:rPr>
                <w:sz w:val="19"/>
                <w:szCs w:val="19"/>
              </w:rPr>
              <w:t>κοινωνικοί</w:t>
            </w:r>
            <w:proofErr w:type="spellEnd"/>
            <w:r>
              <w:rPr>
                <w:sz w:val="19"/>
                <w:szCs w:val="19"/>
              </w:rPr>
              <w:t xml:space="preserve"> </w:t>
            </w:r>
            <w:proofErr w:type="spellStart"/>
            <w:r>
              <w:rPr>
                <w:sz w:val="19"/>
                <w:szCs w:val="19"/>
              </w:rPr>
              <w:t>φρ</w:t>
            </w:r>
            <w:proofErr w:type="spellEnd"/>
            <w:r>
              <w:rPr>
                <w:sz w:val="19"/>
                <w:szCs w:val="19"/>
              </w:rPr>
              <w:t>αγμοί</w:t>
            </w:r>
          </w:p>
        </w:tc>
        <w:tc>
          <w:tcPr>
            <w:tcW w:w="2268" w:type="dxa"/>
            <w:tcBorders>
              <w:top w:val="single" w:sz="4" w:space="0" w:color="BFBFBF"/>
              <w:left w:val="single" w:sz="4" w:space="0" w:color="BFBFBF"/>
              <w:bottom w:val="single" w:sz="4" w:space="0" w:color="BFBFBF"/>
              <w:right w:val="single" w:sz="4" w:space="0" w:color="BFBFBF"/>
            </w:tcBorders>
          </w:tcPr>
          <w:p w14:paraId="69487F2F" w14:textId="77777777" w:rsidR="00E63D5B" w:rsidRPr="00132066" w:rsidRDefault="001F059D">
            <w:pPr>
              <w:spacing w:after="40" w:line="240" w:lineRule="auto"/>
              <w:jc w:val="left"/>
              <w:rPr>
                <w:lang w:val="el-GR"/>
              </w:rPr>
            </w:pPr>
            <w:r>
              <w:rPr>
                <w:sz w:val="19"/>
                <w:szCs w:val="19"/>
                <w:lang w:val="el-GR"/>
              </w:rPr>
              <w:t xml:space="preserve">Απόκλιση που χρειάζεται ερμηνεία: </w:t>
            </w:r>
            <w:proofErr w:type="spellStart"/>
            <w:r>
              <w:rPr>
                <w:sz w:val="19"/>
                <w:szCs w:val="19"/>
                <w:lang w:val="el-GR"/>
              </w:rPr>
              <w:t>ευαλωτότητα</w:t>
            </w:r>
            <w:proofErr w:type="spellEnd"/>
            <w:r>
              <w:rPr>
                <w:sz w:val="19"/>
                <w:szCs w:val="19"/>
                <w:lang w:val="el-GR"/>
              </w:rPr>
              <w:t xml:space="preserve"> πρόσβασης, όχι ψυχικής αντοχής</w:t>
            </w:r>
          </w:p>
        </w:tc>
      </w:tr>
      <w:tr w:rsidR="00E63D5B" w:rsidRPr="00D84B1E" w14:paraId="10DDAE88" w14:textId="77777777">
        <w:trPr>
          <w:cantSplit/>
          <w:jc w:val="center"/>
        </w:trPr>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58B66DBC" w14:textId="77777777" w:rsidR="00E63D5B" w:rsidRDefault="001F059D">
            <w:pPr>
              <w:spacing w:after="40" w:line="240" w:lineRule="auto"/>
              <w:jc w:val="left"/>
            </w:pPr>
            <w:proofErr w:type="spellStart"/>
            <w:r>
              <w:rPr>
                <w:sz w:val="19"/>
                <w:szCs w:val="19"/>
              </w:rPr>
              <w:lastRenderedPageBreak/>
              <w:t>Γονικός</w:t>
            </w:r>
            <w:proofErr w:type="spellEnd"/>
            <w:r>
              <w:rPr>
                <w:sz w:val="19"/>
                <w:szCs w:val="19"/>
              </w:rPr>
              <w:t xml:space="preserve"> </w:t>
            </w:r>
            <w:proofErr w:type="spellStart"/>
            <w:r>
              <w:rPr>
                <w:sz w:val="19"/>
                <w:szCs w:val="19"/>
              </w:rPr>
              <w:t>δεσμός</w:t>
            </w:r>
            <w:proofErr w:type="spellEnd"/>
          </w:p>
        </w:tc>
        <w:tc>
          <w:tcPr>
            <w:tcW w:w="2357" w:type="dxa"/>
            <w:tcBorders>
              <w:top w:val="single" w:sz="4" w:space="0" w:color="BFBFBF"/>
              <w:left w:val="single" w:sz="4" w:space="0" w:color="BFBFBF"/>
              <w:bottom w:val="single" w:sz="4" w:space="0" w:color="BFBFBF"/>
              <w:right w:val="single" w:sz="4" w:space="0" w:color="BFBFBF"/>
            </w:tcBorders>
            <w:shd w:val="clear" w:color="auto" w:fill="F3F6FA"/>
          </w:tcPr>
          <w:p w14:paraId="699CB098" w14:textId="77777777" w:rsidR="00E63D5B" w:rsidRPr="00132066" w:rsidRDefault="001F059D">
            <w:pPr>
              <w:spacing w:after="40" w:line="240" w:lineRule="auto"/>
              <w:jc w:val="left"/>
              <w:rPr>
                <w:lang w:val="el-GR"/>
              </w:rPr>
            </w:pPr>
            <w:r>
              <w:rPr>
                <w:sz w:val="19"/>
                <w:szCs w:val="19"/>
                <w:lang w:val="el-GR"/>
              </w:rPr>
              <w:t>Περισσότερη μητρική φροντίδα με ΔΜΤΣ</w:t>
            </w:r>
          </w:p>
        </w:tc>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3B2F9541" w14:textId="77777777" w:rsidR="00E63D5B" w:rsidRPr="00132066" w:rsidRDefault="001F059D">
            <w:pPr>
              <w:spacing w:after="40" w:line="240" w:lineRule="auto"/>
              <w:jc w:val="left"/>
              <w:rPr>
                <w:lang w:val="el-GR"/>
              </w:rPr>
            </w:pPr>
            <w:r>
              <w:rPr>
                <w:sz w:val="19"/>
                <w:szCs w:val="19"/>
                <w:lang w:val="el-GR"/>
              </w:rPr>
              <w:t>Πολύπλοκες, αντιφατικές αναπαραστάσεις των γονέων</w:t>
            </w:r>
          </w:p>
        </w:tc>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2B7DB6E1" w14:textId="30DC61C5" w:rsidR="00E63D5B" w:rsidRPr="00132066" w:rsidRDefault="001F059D">
            <w:pPr>
              <w:spacing w:after="40" w:line="240" w:lineRule="auto"/>
              <w:jc w:val="left"/>
              <w:rPr>
                <w:lang w:val="el-GR"/>
              </w:rPr>
            </w:pPr>
            <w:r>
              <w:rPr>
                <w:sz w:val="19"/>
                <w:szCs w:val="19"/>
                <w:lang w:val="el-GR"/>
              </w:rPr>
              <w:t>Απροσδόκητο εύρημα·</w:t>
            </w:r>
            <w:r w:rsidR="00881FA2">
              <w:rPr>
                <w:sz w:val="19"/>
                <w:szCs w:val="19"/>
                <w:lang w:val="el-GR"/>
              </w:rPr>
              <w:t xml:space="preserve"> </w:t>
            </w:r>
            <w:r>
              <w:rPr>
                <w:sz w:val="19"/>
                <w:szCs w:val="19"/>
                <w:lang w:val="el-GR"/>
              </w:rPr>
              <w:t>ερμηνεύεται με επιφύλαξη</w:t>
            </w:r>
          </w:p>
        </w:tc>
      </w:tr>
      <w:tr w:rsidR="00E63D5B" w14:paraId="3C888855" w14:textId="77777777">
        <w:trPr>
          <w:cantSplit/>
          <w:jc w:val="center"/>
        </w:trPr>
        <w:tc>
          <w:tcPr>
            <w:tcW w:w="2268" w:type="dxa"/>
            <w:tcBorders>
              <w:top w:val="single" w:sz="4" w:space="0" w:color="BFBFBF"/>
              <w:left w:val="single" w:sz="4" w:space="0" w:color="BFBFBF"/>
              <w:bottom w:val="single" w:sz="4" w:space="0" w:color="BFBFBF"/>
              <w:right w:val="single" w:sz="4" w:space="0" w:color="BFBFBF"/>
            </w:tcBorders>
          </w:tcPr>
          <w:p w14:paraId="237D5440" w14:textId="77777777" w:rsidR="00E63D5B" w:rsidRDefault="001F059D">
            <w:pPr>
              <w:spacing w:after="40" w:line="240" w:lineRule="auto"/>
              <w:jc w:val="left"/>
            </w:pPr>
            <w:proofErr w:type="spellStart"/>
            <w:r>
              <w:rPr>
                <w:sz w:val="19"/>
                <w:szCs w:val="19"/>
              </w:rPr>
              <w:t>Μετ</w:t>
            </w:r>
            <w:proofErr w:type="spellEnd"/>
            <w:r>
              <w:rPr>
                <w:sz w:val="19"/>
                <w:szCs w:val="19"/>
              </w:rPr>
              <w:t>ατραυματική α</w:t>
            </w:r>
            <w:proofErr w:type="spellStart"/>
            <w:r>
              <w:rPr>
                <w:sz w:val="19"/>
                <w:szCs w:val="19"/>
              </w:rPr>
              <w:t>νά</w:t>
            </w:r>
            <w:proofErr w:type="spellEnd"/>
            <w:r>
              <w:rPr>
                <w:sz w:val="19"/>
                <w:szCs w:val="19"/>
              </w:rPr>
              <w:t>πτυξη</w:t>
            </w:r>
          </w:p>
        </w:tc>
        <w:tc>
          <w:tcPr>
            <w:tcW w:w="2357" w:type="dxa"/>
            <w:tcBorders>
              <w:top w:val="single" w:sz="4" w:space="0" w:color="BFBFBF"/>
              <w:left w:val="single" w:sz="4" w:space="0" w:color="BFBFBF"/>
              <w:bottom w:val="single" w:sz="4" w:space="0" w:color="BFBFBF"/>
              <w:right w:val="single" w:sz="4" w:space="0" w:color="BFBFBF"/>
            </w:tcBorders>
          </w:tcPr>
          <w:p w14:paraId="1A15E19C" w14:textId="77777777" w:rsidR="00E63D5B" w:rsidRPr="00132066" w:rsidRDefault="001F059D">
            <w:pPr>
              <w:spacing w:after="40" w:line="240" w:lineRule="auto"/>
              <w:jc w:val="left"/>
              <w:rPr>
                <w:lang w:val="el-GR"/>
              </w:rPr>
            </w:pPr>
            <w:r>
              <w:rPr>
                <w:sz w:val="19"/>
                <w:szCs w:val="19"/>
                <w:lang w:val="el-GR"/>
              </w:rPr>
              <w:t xml:space="preserve">Δύο αντίθετες </w:t>
            </w:r>
            <w:proofErr w:type="spellStart"/>
            <w:r>
              <w:rPr>
                <w:sz w:val="19"/>
                <w:szCs w:val="19"/>
                <w:lang w:val="el-GR"/>
              </w:rPr>
              <w:t>διαδρομές·η</w:t>
            </w:r>
            <w:proofErr w:type="spellEnd"/>
            <w:r>
              <w:rPr>
                <w:sz w:val="19"/>
                <w:szCs w:val="19"/>
                <w:lang w:val="el-GR"/>
              </w:rPr>
              <w:t xml:space="preserve"> δυσφορία εμποδίζει την ανάπτυξη</w:t>
            </w:r>
          </w:p>
        </w:tc>
        <w:tc>
          <w:tcPr>
            <w:tcW w:w="2268" w:type="dxa"/>
            <w:tcBorders>
              <w:top w:val="single" w:sz="4" w:space="0" w:color="BFBFBF"/>
              <w:left w:val="single" w:sz="4" w:space="0" w:color="BFBFBF"/>
              <w:bottom w:val="single" w:sz="4" w:space="0" w:color="BFBFBF"/>
              <w:right w:val="single" w:sz="4" w:space="0" w:color="BFBFBF"/>
            </w:tcBorders>
          </w:tcPr>
          <w:p w14:paraId="547CE6A7" w14:textId="77777777" w:rsidR="00E63D5B" w:rsidRPr="00132066" w:rsidRDefault="001F059D">
            <w:pPr>
              <w:spacing w:after="40" w:line="240" w:lineRule="auto"/>
              <w:jc w:val="left"/>
              <w:rPr>
                <w:lang w:val="el-GR"/>
              </w:rPr>
            </w:pPr>
            <w:r>
              <w:rPr>
                <w:sz w:val="19"/>
                <w:szCs w:val="19"/>
                <w:lang w:val="el-GR"/>
              </w:rPr>
              <w:t xml:space="preserve">Ανάπτυξη μετά την </w:t>
            </w:r>
            <w:proofErr w:type="spellStart"/>
            <w:r>
              <w:rPr>
                <w:sz w:val="19"/>
                <w:szCs w:val="19"/>
                <w:lang w:val="el-GR"/>
              </w:rPr>
              <w:t>ασφάλεια·συνύπαρξη</w:t>
            </w:r>
            <w:proofErr w:type="spellEnd"/>
            <w:r>
              <w:rPr>
                <w:sz w:val="19"/>
                <w:szCs w:val="19"/>
                <w:lang w:val="el-GR"/>
              </w:rPr>
              <w:t xml:space="preserve"> με </w:t>
            </w:r>
            <w:proofErr w:type="spellStart"/>
            <w:r>
              <w:rPr>
                <w:sz w:val="19"/>
                <w:szCs w:val="19"/>
                <w:lang w:val="el-GR"/>
              </w:rPr>
              <w:t>τραύμα·σχεσιακός</w:t>
            </w:r>
            <w:proofErr w:type="spellEnd"/>
            <w:r>
              <w:rPr>
                <w:sz w:val="19"/>
                <w:szCs w:val="19"/>
                <w:lang w:val="el-GR"/>
              </w:rPr>
              <w:t xml:space="preserve"> χαρακτήρας</w:t>
            </w:r>
          </w:p>
        </w:tc>
        <w:tc>
          <w:tcPr>
            <w:tcW w:w="2268" w:type="dxa"/>
            <w:tcBorders>
              <w:top w:val="single" w:sz="4" w:space="0" w:color="BFBFBF"/>
              <w:left w:val="single" w:sz="4" w:space="0" w:color="BFBFBF"/>
              <w:bottom w:val="single" w:sz="4" w:space="0" w:color="BFBFBF"/>
              <w:right w:val="single" w:sz="4" w:space="0" w:color="BFBFBF"/>
            </w:tcBorders>
          </w:tcPr>
          <w:p w14:paraId="56A96B5C" w14:textId="77777777" w:rsidR="00E63D5B" w:rsidRDefault="001F059D">
            <w:pPr>
              <w:spacing w:after="40" w:line="240" w:lineRule="auto"/>
              <w:jc w:val="left"/>
            </w:pPr>
            <w:proofErr w:type="spellStart"/>
            <w:r>
              <w:rPr>
                <w:sz w:val="19"/>
                <w:szCs w:val="19"/>
              </w:rPr>
              <w:t>Σύγκλιση</w:t>
            </w:r>
            <w:proofErr w:type="spellEnd"/>
            <w:r>
              <w:rPr>
                <w:sz w:val="19"/>
                <w:szCs w:val="19"/>
              </w:rPr>
              <w:t xml:space="preserve"> και </w:t>
            </w:r>
            <w:proofErr w:type="spellStart"/>
            <w:r>
              <w:rPr>
                <w:sz w:val="19"/>
                <w:szCs w:val="19"/>
              </w:rPr>
              <w:t>εμ</w:t>
            </w:r>
            <w:proofErr w:type="spellEnd"/>
            <w:r>
              <w:rPr>
                <w:sz w:val="19"/>
                <w:szCs w:val="19"/>
              </w:rPr>
              <w:t>πλουτισμός</w:t>
            </w:r>
          </w:p>
        </w:tc>
      </w:tr>
    </w:tbl>
    <w:p w14:paraId="5CE2EB89" w14:textId="77777777" w:rsidR="00E63D5B" w:rsidRDefault="00E63D5B">
      <w:pPr>
        <w:spacing w:after="80"/>
      </w:pPr>
    </w:p>
    <w:p w14:paraId="0872CBA0" w14:textId="77777777" w:rsidR="00E63D5B" w:rsidRPr="00132066" w:rsidRDefault="001F059D">
      <w:pPr>
        <w:rPr>
          <w:lang w:val="el-GR"/>
        </w:rPr>
      </w:pPr>
      <w:r>
        <w:rPr>
          <w:lang w:val="el-GR"/>
        </w:rPr>
        <w:t xml:space="preserve">Πέρα από τις επιμέρους συγκλίσεις, το σημαντικότερο συμπέρασμα της σύνθεσης είναι ότι η ενδοοικογενειακή βία δεν μπορεί να κατανοηθεί επαρκώς ούτε ως αμιγώς ατομικό ψυχολογικό πρόβλημα ούτε αποκλειστικά ως κοινωνικό φαινόμενο. Τα ευρήματα υποστηρίζουν ένα οικολογικό και ενήμερο ως προς το τραύμα πλαίσιο, σύμφωνα με το οποίο η βία είναι ταυτόχρονα ατομικό τραύμα, σχεσιακό και </w:t>
      </w:r>
      <w:proofErr w:type="spellStart"/>
      <w:r>
        <w:rPr>
          <w:lang w:val="el-GR"/>
        </w:rPr>
        <w:t>διαγενεακό</w:t>
      </w:r>
      <w:proofErr w:type="spellEnd"/>
      <w:r>
        <w:rPr>
          <w:lang w:val="el-GR"/>
        </w:rPr>
        <w:t xml:space="preserve"> φαινόμενο και έκφραση ευρύτερων δομών έμφυλης ανισότητας. Η υποστήριξη των επιζωσών, επομένως, δεν μπορεί να περιορίζεται στη μείωση των συμπτωμάτων: χρειάζεται να αποκαθιστά την ασφάλεια, να διευρύνει τις πραγματικές δυνατότητες επιλογής και να ενισχύει τις σχέσεις και τους προστατευτικούς πόρους των γυναικών και των παιδιών.</w:t>
      </w:r>
    </w:p>
    <w:p w14:paraId="36FA7F55" w14:textId="77777777" w:rsidR="00E63D5B" w:rsidRPr="00132066" w:rsidRDefault="001F059D">
      <w:pPr>
        <w:pStyle w:val="20"/>
        <w:rPr>
          <w:lang w:val="el-GR"/>
        </w:rPr>
      </w:pPr>
      <w:bookmarkStart w:id="68" w:name="_Toc242134473"/>
      <w:r>
        <w:rPr>
          <w:lang w:val="el-GR"/>
        </w:rPr>
        <w:t xml:space="preserve">8.10 </w:t>
      </w:r>
      <w:proofErr w:type="spellStart"/>
      <w:r>
        <w:rPr>
          <w:lang w:val="el-GR"/>
        </w:rPr>
        <w:t>Αναστοχαστική</w:t>
      </w:r>
      <w:proofErr w:type="spellEnd"/>
      <w:r>
        <w:rPr>
          <w:lang w:val="el-GR"/>
        </w:rPr>
        <w:t xml:space="preserve"> τοποθέτηση</w:t>
      </w:r>
      <w:bookmarkEnd w:id="68"/>
    </w:p>
    <w:p w14:paraId="42F3C149" w14:textId="77777777" w:rsidR="00E63D5B" w:rsidRPr="00132066" w:rsidRDefault="001F059D">
      <w:pPr>
        <w:rPr>
          <w:lang w:val="el-GR"/>
        </w:rPr>
      </w:pPr>
      <w:r>
        <w:rPr>
          <w:lang w:val="el-GR"/>
        </w:rPr>
        <w:t xml:space="preserve">Η ανάλυση δεν αντιμετωπίζεται ως ουδέτερη αναπαραγωγή των αφηγήσεων. Τα εγκάρσια μοτίβα που οργανώνουν τη Συζήτηση (το τραύμα ως ενσώματη εμπειρία, η διάβρωση της </w:t>
      </w:r>
      <w:proofErr w:type="spellStart"/>
      <w:r>
        <w:rPr>
          <w:lang w:val="el-GR"/>
        </w:rPr>
        <w:t>αυτοεμπιστοσύνης</w:t>
      </w:r>
      <w:proofErr w:type="spellEnd"/>
      <w:r>
        <w:rPr>
          <w:lang w:val="el-GR"/>
        </w:rPr>
        <w:t xml:space="preserve">, ο υλικός και θεσμικός εγκλωβισμός, η μητρότητα ως πεδίο επιβάρυνσης και επανόρθωσης, η αυτενέργεια που συνυπάρχει με την </w:t>
      </w:r>
      <w:proofErr w:type="spellStart"/>
      <w:r>
        <w:rPr>
          <w:lang w:val="el-GR"/>
        </w:rPr>
        <w:t>αβοηθητότητα</w:t>
      </w:r>
      <w:proofErr w:type="spellEnd"/>
      <w:r>
        <w:rPr>
          <w:lang w:val="el-GR"/>
        </w:rPr>
        <w:t xml:space="preserve">, η αλυσίδα «πρώιμο τραύμα – γονικός δεσμός – γονεϊκότητα») συνιστούν ένα πρόσθετο επίπεδο σύνθεσης που κατασκευάστηκε συλλογικά από την ερευνητική ομάδα. Η φεμινιστική και διαθεματική οπτική κατεύθυνε την προσοχή στην ισχύ, την κοινωνική δικαιοσύνη και την έμφυλη ισότητα, και όχι μόνο στην ψυχική υγεία. Μια ομάδα με διαφορετική θεωρητική τοποθέτηση θα μπορούσε να οργανώσει διαφορετικά τις ίδιες αφηγήσεις. Γι' αυτό τα ευρήματα παρουσιάζονται ως </w:t>
      </w:r>
      <w:proofErr w:type="spellStart"/>
      <w:r>
        <w:rPr>
          <w:lang w:val="el-GR"/>
        </w:rPr>
        <w:t>αναστοχαστικά</w:t>
      </w:r>
      <w:proofErr w:type="spellEnd"/>
      <w:r>
        <w:rPr>
          <w:lang w:val="el-GR"/>
        </w:rPr>
        <w:t xml:space="preserve"> τεκμηριωμένες ερμηνευτικές προτάσεις και όχι ως η μοναδική δυνατή ανάγνωση (</w:t>
      </w:r>
      <w:r>
        <w:t>Braun</w:t>
      </w:r>
      <w:r>
        <w:rPr>
          <w:lang w:val="el-GR"/>
        </w:rPr>
        <w:t xml:space="preserve"> &amp; </w:t>
      </w:r>
      <w:r>
        <w:t>Clarke</w:t>
      </w:r>
      <w:r>
        <w:rPr>
          <w:lang w:val="el-GR"/>
        </w:rPr>
        <w:t>, 2022·</w:t>
      </w:r>
      <w:r>
        <w:t>Willig</w:t>
      </w:r>
      <w:r>
        <w:rPr>
          <w:lang w:val="el-GR"/>
        </w:rPr>
        <w:t>, 2003).</w:t>
      </w:r>
    </w:p>
    <w:p w14:paraId="1C4AEC75" w14:textId="77777777" w:rsidR="00E63D5B" w:rsidRDefault="001F059D">
      <w:pPr>
        <w:pStyle w:val="20"/>
      </w:pPr>
      <w:bookmarkStart w:id="69" w:name="_Toc242134474"/>
      <w:r>
        <w:t xml:space="preserve">8.11 </w:t>
      </w:r>
      <w:proofErr w:type="spellStart"/>
      <w:r>
        <w:t>Περιορισμοί</w:t>
      </w:r>
      <w:bookmarkEnd w:id="69"/>
      <w:proofErr w:type="spellEnd"/>
    </w:p>
    <w:p w14:paraId="015DFD4E" w14:textId="77777777" w:rsidR="00E63D5B" w:rsidRPr="00132066" w:rsidRDefault="001F059D">
      <w:pPr>
        <w:numPr>
          <w:ilvl w:val="0"/>
          <w:numId w:val="1"/>
        </w:numPr>
        <w:pBdr>
          <w:top w:val="nil"/>
          <w:left w:val="nil"/>
          <w:bottom w:val="nil"/>
          <w:right w:val="nil"/>
          <w:between w:val="nil"/>
        </w:pBdr>
        <w:spacing w:after="0"/>
        <w:jc w:val="left"/>
        <w:rPr>
          <w:lang w:val="el-GR"/>
        </w:rPr>
      </w:pPr>
      <w:r>
        <w:rPr>
          <w:color w:val="000000"/>
          <w:lang w:val="el-GR"/>
        </w:rPr>
        <w:t>Συγχρονικός σχεδιασμός. Τα ευρήματα αποτυπώνουν μία χρονική στιγμή και δεν επιτρέπουν αιτιώδη συμπεράσματα ούτε την εξέταση της εξέλιξης των σχέσεων στην πορεία της απομάκρυνσης και της ανάκαμψης.</w:t>
      </w:r>
    </w:p>
    <w:p w14:paraId="0DCB40AD" w14:textId="3C936D11" w:rsidR="00E63D5B" w:rsidRPr="00132066" w:rsidRDefault="001F059D">
      <w:pPr>
        <w:numPr>
          <w:ilvl w:val="0"/>
          <w:numId w:val="1"/>
        </w:numPr>
        <w:pBdr>
          <w:top w:val="nil"/>
          <w:left w:val="nil"/>
          <w:bottom w:val="nil"/>
          <w:right w:val="nil"/>
          <w:between w:val="nil"/>
        </w:pBdr>
        <w:spacing w:after="0"/>
        <w:jc w:val="left"/>
        <w:rPr>
          <w:lang w:val="el-GR"/>
        </w:rPr>
      </w:pPr>
      <w:r>
        <w:rPr>
          <w:color w:val="000000"/>
          <w:lang w:val="el-GR"/>
        </w:rPr>
        <w:t xml:space="preserve">Μέγεθος υποδειγμάτων. Οι αναλύσεις βασίστηκαν σε 25 </w:t>
      </w:r>
      <w:proofErr w:type="spellStart"/>
      <w:r w:rsidR="00800F55">
        <w:rPr>
          <w:color w:val="000000"/>
          <w:lang w:val="el-GR"/>
        </w:rPr>
        <w:t>έφηβα</w:t>
      </w:r>
      <w:proofErr w:type="spellEnd"/>
      <w:r w:rsidR="00800F55">
        <w:rPr>
          <w:color w:val="000000"/>
          <w:lang w:val="el-GR"/>
        </w:rPr>
        <w:t xml:space="preserve"> </w:t>
      </w:r>
      <w:r>
        <w:rPr>
          <w:color w:val="000000"/>
          <w:lang w:val="el-GR"/>
        </w:rPr>
        <w:t>άτομα. Η περιορισμένη στατιστική ισχύς μπορεί να εξηγεί την απουσία σημαντικών διαφορών παρά τις συστηματικές τάσεις, γι' αυτό τα σχετικά ευρήματα είναι ενδεικτικά.</w:t>
      </w:r>
    </w:p>
    <w:p w14:paraId="497CEE30" w14:textId="77777777" w:rsidR="00E63D5B" w:rsidRDefault="001F059D">
      <w:pPr>
        <w:numPr>
          <w:ilvl w:val="0"/>
          <w:numId w:val="1"/>
        </w:numPr>
        <w:pBdr>
          <w:top w:val="nil"/>
          <w:left w:val="nil"/>
          <w:bottom w:val="nil"/>
          <w:right w:val="nil"/>
          <w:between w:val="nil"/>
        </w:pBdr>
        <w:spacing w:after="0"/>
        <w:jc w:val="left"/>
      </w:pPr>
      <w:r>
        <w:rPr>
          <w:color w:val="000000"/>
          <w:lang w:val="el-GR"/>
        </w:rPr>
        <w:t xml:space="preserve">Επιλογή του δείγματος. Οι γυναίκες προήλθαν από δομές υποστήριξης και είχαν ήδη αναζητήσει βοήθεια. Ενδέχεται να διαφέρουν από όσες δεν έχουν απευθυνθεί σε υπηρεσίες ως προς την αναγνώριση της βίας, τη σοβαρότητά της και τους πόρους τους. </w:t>
      </w:r>
      <w:proofErr w:type="spellStart"/>
      <w:r>
        <w:rPr>
          <w:color w:val="000000"/>
        </w:rPr>
        <w:t>Οι</w:t>
      </w:r>
      <w:proofErr w:type="spellEnd"/>
      <w:r>
        <w:rPr>
          <w:color w:val="000000"/>
        </w:rPr>
        <w:t xml:space="preserve"> </w:t>
      </w:r>
      <w:proofErr w:type="spellStart"/>
      <w:r>
        <w:rPr>
          <w:color w:val="000000"/>
        </w:rPr>
        <w:t>μετ</w:t>
      </w:r>
      <w:proofErr w:type="spellEnd"/>
      <w:r>
        <w:rPr>
          <w:color w:val="000000"/>
        </w:rPr>
        <w:t xml:space="preserve">ανάστριες </w:t>
      </w:r>
      <w:proofErr w:type="spellStart"/>
      <w:r>
        <w:rPr>
          <w:color w:val="000000"/>
        </w:rPr>
        <w:t>του</w:t>
      </w:r>
      <w:proofErr w:type="spellEnd"/>
      <w:r>
        <w:rPr>
          <w:color w:val="000000"/>
        </w:rPr>
        <w:t xml:space="preserve"> </w:t>
      </w:r>
      <w:proofErr w:type="spellStart"/>
      <w:r>
        <w:rPr>
          <w:color w:val="000000"/>
        </w:rPr>
        <w:t>δείγμ</w:t>
      </w:r>
      <w:proofErr w:type="spellEnd"/>
      <w:r>
        <w:rPr>
          <w:color w:val="000000"/>
        </w:rPr>
        <w:t xml:space="preserve">ατος </w:t>
      </w:r>
      <w:proofErr w:type="spellStart"/>
      <w:r>
        <w:rPr>
          <w:color w:val="000000"/>
        </w:rPr>
        <w:t>ήτ</w:t>
      </w:r>
      <w:proofErr w:type="spellEnd"/>
      <w:r>
        <w:rPr>
          <w:color w:val="000000"/>
        </w:rPr>
        <w:t xml:space="preserve">αν </w:t>
      </w:r>
      <w:proofErr w:type="spellStart"/>
      <w:r>
        <w:rPr>
          <w:color w:val="000000"/>
        </w:rPr>
        <w:t>οι</w:t>
      </w:r>
      <w:proofErr w:type="spellEnd"/>
      <w:r>
        <w:rPr>
          <w:color w:val="000000"/>
        </w:rPr>
        <w:t xml:space="preserve"> </w:t>
      </w:r>
      <w:proofErr w:type="spellStart"/>
      <w:r>
        <w:rPr>
          <w:color w:val="000000"/>
        </w:rPr>
        <w:t>σχετικά</w:t>
      </w:r>
      <w:proofErr w:type="spellEnd"/>
      <w:r>
        <w:rPr>
          <w:color w:val="000000"/>
        </w:rPr>
        <w:t xml:space="preserve"> π</w:t>
      </w:r>
      <w:proofErr w:type="spellStart"/>
      <w:r>
        <w:rPr>
          <w:color w:val="000000"/>
        </w:rPr>
        <w:t>ερισσότερο</w:t>
      </w:r>
      <w:proofErr w:type="spellEnd"/>
      <w:r>
        <w:rPr>
          <w:color w:val="000000"/>
        </w:rPr>
        <w:t xml:space="preserve"> </w:t>
      </w:r>
      <w:proofErr w:type="spellStart"/>
      <w:r>
        <w:rPr>
          <w:color w:val="000000"/>
        </w:rPr>
        <w:t>εντ</w:t>
      </w:r>
      <w:proofErr w:type="spellEnd"/>
      <w:r>
        <w:rPr>
          <w:color w:val="000000"/>
        </w:rPr>
        <w:t>αγμένες.</w:t>
      </w:r>
    </w:p>
    <w:p w14:paraId="58CA7566" w14:textId="77777777" w:rsidR="00E63D5B" w:rsidRPr="00132066" w:rsidRDefault="001F059D">
      <w:pPr>
        <w:numPr>
          <w:ilvl w:val="0"/>
          <w:numId w:val="1"/>
        </w:numPr>
        <w:pBdr>
          <w:top w:val="nil"/>
          <w:left w:val="nil"/>
          <w:bottom w:val="nil"/>
          <w:right w:val="nil"/>
          <w:between w:val="nil"/>
        </w:pBdr>
        <w:spacing w:after="0"/>
        <w:jc w:val="left"/>
        <w:rPr>
          <w:lang w:val="el-GR"/>
        </w:rPr>
      </w:pPr>
      <w:proofErr w:type="spellStart"/>
      <w:r>
        <w:rPr>
          <w:color w:val="000000"/>
          <w:lang w:val="el-GR"/>
        </w:rPr>
        <w:t>Αυτοαναφορές</w:t>
      </w:r>
      <w:proofErr w:type="spellEnd"/>
      <w:r>
        <w:rPr>
          <w:color w:val="000000"/>
          <w:lang w:val="el-GR"/>
        </w:rPr>
        <w:t xml:space="preserve"> και αναδρομικές μετρήσεις. Η </w:t>
      </w:r>
      <w:proofErr w:type="spellStart"/>
      <w:r>
        <w:rPr>
          <w:color w:val="000000"/>
          <w:lang w:val="el-GR"/>
        </w:rPr>
        <w:t>μετατραυματική</w:t>
      </w:r>
      <w:proofErr w:type="spellEnd"/>
      <w:r>
        <w:rPr>
          <w:color w:val="000000"/>
          <w:lang w:val="el-GR"/>
        </w:rPr>
        <w:t xml:space="preserve"> ανάπτυξη μετρήθηκε ως αντιλαμβανόμενη αλλαγή, η οποία δεν ταυτίζεται πάντοτε με </w:t>
      </w:r>
      <w:proofErr w:type="spellStart"/>
      <w:r>
        <w:rPr>
          <w:color w:val="000000"/>
          <w:lang w:val="el-GR"/>
        </w:rPr>
        <w:t>παρατηρήσιμη</w:t>
      </w:r>
      <w:proofErr w:type="spellEnd"/>
      <w:r>
        <w:rPr>
          <w:color w:val="000000"/>
          <w:lang w:val="el-GR"/>
        </w:rPr>
        <w:t xml:space="preserve"> βελτίωση της λειτουργικότητας. Εργαλεία όπως το </w:t>
      </w:r>
      <w:r>
        <w:rPr>
          <w:color w:val="000000"/>
        </w:rPr>
        <w:t>PBI</w:t>
      </w:r>
      <w:r>
        <w:rPr>
          <w:color w:val="000000"/>
          <w:lang w:val="el-GR"/>
        </w:rPr>
        <w:t xml:space="preserve"> και το </w:t>
      </w:r>
      <w:r>
        <w:rPr>
          <w:color w:val="000000"/>
        </w:rPr>
        <w:t>ETI</w:t>
      </w:r>
      <w:r>
        <w:rPr>
          <w:color w:val="000000"/>
          <w:lang w:val="el-GR"/>
        </w:rPr>
        <w:t xml:space="preserve"> είναι ευάλωτα σε σφάλματα ανάκλησης και στην επίδραση της τρέχουσας διάθεσης (</w:t>
      </w:r>
      <w:r>
        <w:rPr>
          <w:color w:val="000000"/>
        </w:rPr>
        <w:t>Hardt</w:t>
      </w:r>
      <w:r>
        <w:rPr>
          <w:color w:val="000000"/>
          <w:lang w:val="el-GR"/>
        </w:rPr>
        <w:t xml:space="preserve"> &amp; </w:t>
      </w:r>
      <w:r>
        <w:rPr>
          <w:color w:val="000000"/>
        </w:rPr>
        <w:t>Rutter</w:t>
      </w:r>
      <w:r>
        <w:rPr>
          <w:color w:val="000000"/>
          <w:lang w:val="el-GR"/>
        </w:rPr>
        <w:t>, 2004), ζήτημα ιδιαίτερα σημαντικό για το απροσδόκητο εύρημα του γονικού δεσμού.</w:t>
      </w:r>
    </w:p>
    <w:p w14:paraId="6A06B700" w14:textId="77777777" w:rsidR="00E63D5B" w:rsidRPr="00132066" w:rsidRDefault="001F059D">
      <w:pPr>
        <w:numPr>
          <w:ilvl w:val="0"/>
          <w:numId w:val="1"/>
        </w:numPr>
        <w:pBdr>
          <w:top w:val="nil"/>
          <w:left w:val="nil"/>
          <w:bottom w:val="nil"/>
          <w:right w:val="nil"/>
          <w:between w:val="nil"/>
        </w:pBdr>
        <w:spacing w:after="0"/>
        <w:jc w:val="left"/>
        <w:rPr>
          <w:lang w:val="el-GR"/>
        </w:rPr>
      </w:pPr>
      <w:r>
        <w:rPr>
          <w:color w:val="000000"/>
          <w:lang w:val="el-GR"/>
        </w:rPr>
        <w:lastRenderedPageBreak/>
        <w:t>Αποκλίσεις μεταξύ των πηγών πληροφόρησης. Οι αναφορές των μητέρων και των εφήβων για τα παιδιά διέφεραν, δυσχεραίνοντας οριστικά συμπεράσματα για την έκταση των δυσκολιών τους.</w:t>
      </w:r>
    </w:p>
    <w:p w14:paraId="1EA758E3" w14:textId="77777777" w:rsidR="00E63D5B" w:rsidRPr="00132066" w:rsidRDefault="001F059D">
      <w:pPr>
        <w:numPr>
          <w:ilvl w:val="0"/>
          <w:numId w:val="1"/>
        </w:numPr>
        <w:pBdr>
          <w:top w:val="nil"/>
          <w:left w:val="nil"/>
          <w:bottom w:val="nil"/>
          <w:right w:val="nil"/>
          <w:between w:val="nil"/>
        </w:pBdr>
        <w:spacing w:after="0"/>
        <w:jc w:val="left"/>
        <w:rPr>
          <w:lang w:val="el-GR"/>
        </w:rPr>
      </w:pPr>
      <w:r>
        <w:rPr>
          <w:color w:val="000000"/>
          <w:lang w:val="el-GR"/>
        </w:rPr>
        <w:t xml:space="preserve">Ποιοτικό δείγμα. Οι 16 συνεντεύξεις δεν επιτρέπουν στατιστική γενίκευση, δεν ήταν όμως αυτός ο στόχος. Τα ευρήματα αξιολογούνται με όρους </w:t>
      </w:r>
      <w:proofErr w:type="spellStart"/>
      <w:r>
        <w:rPr>
          <w:color w:val="000000"/>
          <w:lang w:val="el-GR"/>
        </w:rPr>
        <w:t>μεταφερσιμότητας</w:t>
      </w:r>
      <w:proofErr w:type="spellEnd"/>
      <w:r>
        <w:rPr>
          <w:color w:val="000000"/>
          <w:lang w:val="el-GR"/>
        </w:rPr>
        <w:t xml:space="preserve"> σε συναφή πλαίσια. Οι γυναίκες, μέσω της επαφής τους με τις δομές, ενδέχεται να είχαν ήδη εξοικειωθεί με ενδυναμωτικά ερμηνευτικά σχήματα.</w:t>
      </w:r>
    </w:p>
    <w:p w14:paraId="1509C6CC" w14:textId="77777777" w:rsidR="00E63D5B" w:rsidRPr="00132066" w:rsidRDefault="001F059D">
      <w:pPr>
        <w:numPr>
          <w:ilvl w:val="0"/>
          <w:numId w:val="1"/>
        </w:numPr>
        <w:pBdr>
          <w:top w:val="nil"/>
          <w:left w:val="nil"/>
          <w:bottom w:val="nil"/>
          <w:right w:val="nil"/>
          <w:between w:val="nil"/>
        </w:pBdr>
        <w:spacing w:after="60"/>
        <w:jc w:val="left"/>
        <w:rPr>
          <w:lang w:val="el-GR"/>
        </w:rPr>
      </w:pPr>
      <w:r>
        <w:rPr>
          <w:color w:val="000000"/>
          <w:lang w:val="el-GR"/>
        </w:rPr>
        <w:t>Εστίαση στη σχέση μητέρας–παιδιού. Η εστίαση αυτή δεν αποτυπώνει πλήρως τον ρόλο του πατέρα/δράστη, άλλων προσώπων φροντίδας και του ευρύτερου οικοσυστήματος. Απαιτεί προσοχή ώστε η μητρική ψυχική επιβάρυνση, ως συνέπεια της βίας, να μην ερμηνεύεται ως αιτία των δυσκολιών των παιδιών.</w:t>
      </w:r>
    </w:p>
    <w:p w14:paraId="331C3AC8" w14:textId="77777777" w:rsidR="00E63D5B" w:rsidRPr="00132066" w:rsidRDefault="001F059D">
      <w:pPr>
        <w:rPr>
          <w:lang w:val="el-GR"/>
        </w:rPr>
      </w:pPr>
      <w:r>
        <w:rPr>
          <w:lang w:val="el-GR"/>
        </w:rPr>
        <w:t>Οι περιορισμοί αυτοί αναδεικνύουν κατευθύνσεις για μελλοντική έρευνα: προοπτικές μελέτες, μεγαλύτερα δείγματα παιδιών, πολλαπλές πηγές πληροφόρησης, συμμετοχή γυναικών εκτός δομών και μεταναστριών χωρίς επάρκεια ελληνικής.</w:t>
      </w:r>
    </w:p>
    <w:p w14:paraId="5D07C6BF" w14:textId="77777777" w:rsidR="00E63D5B" w:rsidRPr="00132066" w:rsidRDefault="001F059D">
      <w:pPr>
        <w:pStyle w:val="1"/>
        <w:pageBreakBefore/>
        <w:rPr>
          <w:lang w:val="el-GR"/>
        </w:rPr>
      </w:pPr>
      <w:bookmarkStart w:id="70" w:name="_Toc242134475"/>
      <w:r>
        <w:rPr>
          <w:lang w:val="el-GR"/>
        </w:rPr>
        <w:lastRenderedPageBreak/>
        <w:t>9. Συμπεράσματα σε Αντιστοιχία με τους Στόχους της Έρευνας</w:t>
      </w:r>
      <w:bookmarkEnd w:id="70"/>
    </w:p>
    <w:p w14:paraId="0E608127" w14:textId="14CC5535" w:rsidR="00E63D5B" w:rsidRPr="00132066" w:rsidRDefault="001F059D">
      <w:pPr>
        <w:rPr>
          <w:lang w:val="el-GR"/>
        </w:rPr>
      </w:pPr>
      <w:r>
        <w:rPr>
          <w:lang w:val="el-GR"/>
        </w:rPr>
        <w:t xml:space="preserve">Το </w:t>
      </w:r>
      <w:r w:rsidR="00800F55">
        <w:rPr>
          <w:lang w:val="el-GR"/>
        </w:rPr>
        <w:t xml:space="preserve">Κεφάλαιο </w:t>
      </w:r>
      <w:r>
        <w:rPr>
          <w:lang w:val="el-GR"/>
        </w:rPr>
        <w:t>αυτό συνδέει τα ευρήματα με τον σκοπό και καθέναν από τους έξι επιμέρους στόχους της έρευνας, όπως ορίστηκαν στο Κεφάλαιο 1.3, και απαντά στο ερώτημα: τι μάθαμε για κάθε έναν από αυτούς.</w:t>
      </w:r>
    </w:p>
    <w:p w14:paraId="274780FF" w14:textId="77777777" w:rsidR="00E63D5B" w:rsidRPr="00132066" w:rsidRDefault="001F059D">
      <w:pPr>
        <w:pStyle w:val="20"/>
        <w:rPr>
          <w:lang w:val="el-GR"/>
        </w:rPr>
      </w:pPr>
      <w:bookmarkStart w:id="71" w:name="_Toc242134476"/>
      <w:r>
        <w:rPr>
          <w:lang w:val="el-GR"/>
        </w:rPr>
        <w:t xml:space="preserve">9.1 Ο σκοπός: κατανόηση του τραύματος, της μετάδοσής του και της σχέσης του με τη </w:t>
      </w:r>
      <w:proofErr w:type="spellStart"/>
      <w:r>
        <w:rPr>
          <w:lang w:val="el-GR"/>
        </w:rPr>
        <w:t>μετατραυματική</w:t>
      </w:r>
      <w:proofErr w:type="spellEnd"/>
      <w:r>
        <w:rPr>
          <w:lang w:val="el-GR"/>
        </w:rPr>
        <w:t xml:space="preserve"> ανάπτυξη</w:t>
      </w:r>
      <w:bookmarkEnd w:id="71"/>
    </w:p>
    <w:p w14:paraId="7D2C8994" w14:textId="77777777" w:rsidR="00E63D5B" w:rsidRPr="00132066" w:rsidRDefault="001F059D">
      <w:pPr>
        <w:rPr>
          <w:lang w:val="el-GR"/>
        </w:rPr>
      </w:pPr>
      <w:r>
        <w:rPr>
          <w:lang w:val="el-GR"/>
        </w:rPr>
        <w:t xml:space="preserve">Η έρευνα τεκμηρίωσε ότι το τραύμα είναι η κεντρική και όχι περιφερειακή συνέπεια της ενδοοικογενειακής βίας στις γυναίκες που απευθύνονται στις δομές, ότι η βία και οι συνέπειές της φτάνουν στα παιδιά τόσο άμεσα (έκθεση) όσο και έμμεσα (μέσω της ψυχικής επιβάρυνσης της μητέρας), χωρίς η μετάδοση να είναι γραμμική ή αναπόφευκτη, και ότι η </w:t>
      </w:r>
      <w:proofErr w:type="spellStart"/>
      <w:r>
        <w:rPr>
          <w:lang w:val="el-GR"/>
        </w:rPr>
        <w:t>μετατραυματική</w:t>
      </w:r>
      <w:proofErr w:type="spellEnd"/>
      <w:r>
        <w:rPr>
          <w:lang w:val="el-GR"/>
        </w:rPr>
        <w:t xml:space="preserve"> ανάπτυξη είναι δυνατή, αλλά προϋποθέτει τη μείωση της ψυχολογικής δυσφορίας, δηλαδή την αποκατάσταση της ασφάλειας και του ελέγχου. Στη βάση αυτών των συμπερασμάτων διατυπώνονται οι προτάσεις του Κεφαλαίου 10.</w:t>
      </w:r>
    </w:p>
    <w:p w14:paraId="30A6F5E4" w14:textId="77777777" w:rsidR="00E63D5B" w:rsidRPr="00132066" w:rsidRDefault="001F059D">
      <w:pPr>
        <w:pStyle w:val="20"/>
        <w:rPr>
          <w:lang w:val="el-GR"/>
        </w:rPr>
      </w:pPr>
      <w:bookmarkStart w:id="72" w:name="_Toc242134477"/>
      <w:r>
        <w:rPr>
          <w:lang w:val="el-GR"/>
        </w:rPr>
        <w:t>9.2 Συμπεράσματα ανά στόχο</w:t>
      </w:r>
      <w:bookmarkEnd w:id="72"/>
    </w:p>
    <w:p w14:paraId="103400E0" w14:textId="574C300A" w:rsidR="000956C9" w:rsidRPr="009C3AC6" w:rsidRDefault="00F56A84">
      <w:pPr>
        <w:rPr>
          <w:lang w:val="el-GR"/>
        </w:rPr>
      </w:pPr>
      <w:r w:rsidRPr="009C3AC6">
        <w:rPr>
          <w:lang w:val="el-GR"/>
        </w:rPr>
        <w:t xml:space="preserve">Ο Πίνακας </w:t>
      </w:r>
      <w:r w:rsidR="00800F55">
        <w:rPr>
          <w:lang w:val="el-GR"/>
        </w:rPr>
        <w:t>9</w:t>
      </w:r>
      <w:r w:rsidR="00800F55" w:rsidRPr="009C3AC6">
        <w:rPr>
          <w:lang w:val="el-GR"/>
        </w:rPr>
        <w:t xml:space="preserve"> </w:t>
      </w:r>
      <w:r w:rsidRPr="009C3AC6">
        <w:rPr>
          <w:lang w:val="el-GR"/>
        </w:rPr>
        <w:t xml:space="preserve">αντιστοιχίζει καθέναν από τους έξι στόχους της έρευνας με τα βασικά ευρήματα και το συμπέρασμα που προκύπτει. Ως προς τον στόχο (α), τη συσχέτιση του τραύματος με την ποιότητα ζωής και τη σωματική και ψυχική υγεία των γυναικών, το 62,7% εμφάνισε πιθανή ΔΜΤΣ, το 42,6% πιθανή κατάθλιψη και το 89% μέτριο έως υψηλό στρες. Το τραύμα συσχετίστηκε πολύ ισχυρά με την κατάθλιψη, ισχυρά με το στρες και αρνητικά με όλους τους τομείς της ποιότητας ζωής, με τις κοινωνικές σχέσεις να είναι ο χαμηλότερος. Το τραύμα, επομένως, οργανώνει το σύνολο της επιβάρυνσης και η φροντίδα των επιζωσών χρειάζεται να είναι </w:t>
      </w:r>
      <w:proofErr w:type="spellStart"/>
      <w:r w:rsidRPr="009C3AC6">
        <w:rPr>
          <w:lang w:val="el-GR"/>
        </w:rPr>
        <w:t>τραυματοκεντρική</w:t>
      </w:r>
      <w:proofErr w:type="spellEnd"/>
      <w:r w:rsidRPr="009C3AC6">
        <w:rPr>
          <w:lang w:val="el-GR"/>
        </w:rPr>
        <w:t xml:space="preserve">. Ως προς τον στόχο (β), τη διερεύνηση του τραύματος στα παιδιά και της ψυχοκοινωνικής τους προσαρμογής, το 79% των παιδιών είχε εκτεθεί σε τουλάχιστον μία μορφή βίας και το 51% ήταν παρόν σε βία κατά της μητέρας. Τα παιδιά μητέρων με ΔΜΤΣ είχαν περισσότερα συναισθηματικά προβλήματα και προβλήματα διαγωγής, χωρίς όμως οι </w:t>
      </w:r>
      <w:proofErr w:type="spellStart"/>
      <w:r w:rsidRPr="009C3AC6">
        <w:rPr>
          <w:lang w:val="el-GR"/>
        </w:rPr>
        <w:t>αυτοαναφορές</w:t>
      </w:r>
      <w:proofErr w:type="spellEnd"/>
      <w:r w:rsidRPr="009C3AC6">
        <w:rPr>
          <w:lang w:val="el-GR"/>
        </w:rPr>
        <w:t xml:space="preserve"> των εφήβων να επιβεβαιώνουν τις διαφορές. Τα παιδιά ζουν μέσα στη βία και επηρεάζονται με ποικιλία αντιδράσεων, και κάθε παιδί που έχει εκτεθεί χρειάζεται δική του αξιολόγηση και υποστήριξη.</w:t>
      </w:r>
    </w:p>
    <w:p w14:paraId="36124B12" w14:textId="77777777" w:rsidR="000956C9" w:rsidRPr="009C3AC6" w:rsidRDefault="00F56A84">
      <w:pPr>
        <w:rPr>
          <w:lang w:val="el-GR"/>
        </w:rPr>
      </w:pPr>
      <w:r w:rsidRPr="009C3AC6">
        <w:rPr>
          <w:lang w:val="el-GR"/>
        </w:rPr>
        <w:t xml:space="preserve">Ως προς τον στόχο (γ), τη διερεύνηση της </w:t>
      </w:r>
      <w:proofErr w:type="spellStart"/>
      <w:r w:rsidRPr="009C3AC6">
        <w:rPr>
          <w:lang w:val="el-GR"/>
        </w:rPr>
        <w:t>διαγενεακής</w:t>
      </w:r>
      <w:proofErr w:type="spellEnd"/>
      <w:r w:rsidRPr="009C3AC6">
        <w:rPr>
          <w:lang w:val="el-GR"/>
        </w:rPr>
        <w:t xml:space="preserve"> μετάδοσης του τραύματος και του ρόλου του γονικού δεσμού και των γονικών πρακτικών, σχεδόν εννέα στις δέκα γυναίκες (88%) ανέφεραν σωματική ή συναισθηματική κακοποίηση στην παιδική ηλικία και η ΔΜΤΣ συνδεόταν κυρίως με το διαπροσωπικό τραύμα. Η βία που βίωσε η μητέρα συνδεόταν με την έκθεση του παιδιού, και η ΔΜΤΣ της μητέρας με περισσότερη υπερπροστασία και αγχώδη ανατροφή, ενώ η ζεστασιά διατηρούνταν. Η </w:t>
      </w:r>
      <w:proofErr w:type="spellStart"/>
      <w:r w:rsidRPr="009C3AC6">
        <w:rPr>
          <w:lang w:val="el-GR"/>
        </w:rPr>
        <w:t>διαγενεακή</w:t>
      </w:r>
      <w:proofErr w:type="spellEnd"/>
      <w:r w:rsidRPr="009C3AC6">
        <w:rPr>
          <w:lang w:val="el-GR"/>
        </w:rPr>
        <w:t xml:space="preserve"> συνέχεια είναι πραγματική αλλά </w:t>
      </w:r>
      <w:proofErr w:type="spellStart"/>
      <w:r w:rsidRPr="009C3AC6">
        <w:rPr>
          <w:lang w:val="el-GR"/>
        </w:rPr>
        <w:t>πιθανοκρατική</w:t>
      </w:r>
      <w:proofErr w:type="spellEnd"/>
      <w:r w:rsidRPr="009C3AC6">
        <w:rPr>
          <w:lang w:val="el-GR"/>
        </w:rPr>
        <w:t xml:space="preserve"> και οικολογική, όχι αιτιοκρατική, και ο κύριος δίαυλος από τη βία στο παιδί είναι η ψυχική υγεία της μητέρας. Ως προς τον στόχο (δ), τη σχέση του τραύματος με τη </w:t>
      </w:r>
      <w:proofErr w:type="spellStart"/>
      <w:r w:rsidRPr="009C3AC6">
        <w:rPr>
          <w:lang w:val="el-GR"/>
        </w:rPr>
        <w:t>μετατραυματική</w:t>
      </w:r>
      <w:proofErr w:type="spellEnd"/>
      <w:r w:rsidRPr="009C3AC6">
        <w:rPr>
          <w:lang w:val="el-GR"/>
        </w:rPr>
        <w:t xml:space="preserve"> ανάπτυξη και τους παράγοντες που τη διαφοροποιούν, η ένταση της βίας δεν συνδέθηκε ευθέως με την ανάπτυξη: εντοπίστηκαν δύο αντίθετες διαδρομές, με το στρες και την κατάθλιψη να την εμποδίζουν, ενώ η εκπαίδευση και η εργασία τη διαφοροποίησαν. Η ανάπτυξη δεν είναι αυτόματη συνέπεια του τραύματος, αλλά αποτέλεσμα επεξεργασίας που γίνεται δυνατή όταν υποχωρήσει η δυσφορία.</w:t>
      </w:r>
    </w:p>
    <w:p w14:paraId="76D6C621" w14:textId="77777777" w:rsidR="000956C9" w:rsidRDefault="00F56A84">
      <w:pPr>
        <w:rPr>
          <w:lang w:val="el-GR"/>
        </w:rPr>
      </w:pPr>
      <w:r w:rsidRPr="009C3AC6">
        <w:rPr>
          <w:lang w:val="el-GR"/>
        </w:rPr>
        <w:lastRenderedPageBreak/>
        <w:t xml:space="preserve">Ως προς τον στόχο (ε), την παράλληλη διερεύνηση της εμπειρίας της ενδοοικογενειακής βίας στις μετανάστριες και προσφύγισσες, οι 40 γυναίκες που είχαν γεννηθεί εκτός Ελλάδας (18,1%) βρίσκονταν σε χειρότερη οικονομική κατάσταση (32,5% χαμηλή έναντι 12,7%), χωρίς διαφορές στο τραύμα, ενώ οι συνεντεύξεις ανέδειξαν γλωσσικούς, νομικούς και πολιτισμικούς φραγμούς. Η </w:t>
      </w:r>
      <w:proofErr w:type="spellStart"/>
      <w:r w:rsidRPr="009C3AC6">
        <w:rPr>
          <w:lang w:val="el-GR"/>
        </w:rPr>
        <w:t>ευαλωτότητά</w:t>
      </w:r>
      <w:proofErr w:type="spellEnd"/>
      <w:r w:rsidRPr="009C3AC6">
        <w:rPr>
          <w:lang w:val="el-GR"/>
        </w:rPr>
        <w:t xml:space="preserve"> τους αφορά την πρόσβαση σε πόρους και προστασία και όχι μια εγγενή ψυχική «αδυναμία». Ως προς τον στόχο (</w:t>
      </w:r>
      <w:proofErr w:type="spellStart"/>
      <w:r w:rsidRPr="009C3AC6">
        <w:rPr>
          <w:lang w:val="el-GR"/>
        </w:rPr>
        <w:t>στ</w:t>
      </w:r>
      <w:proofErr w:type="spellEnd"/>
      <w:r w:rsidRPr="009C3AC6">
        <w:rPr>
          <w:lang w:val="el-GR"/>
        </w:rPr>
        <w:t xml:space="preserve">), την εις βάθος κατανόηση της βιωμένης εμπειρίας της βίας, η θεματική ανάλυση ανέδειξε εννέα θέματα γύρω από τον άξονα της </w:t>
      </w:r>
      <w:proofErr w:type="spellStart"/>
      <w:r w:rsidRPr="009C3AC6">
        <w:rPr>
          <w:lang w:val="el-GR"/>
        </w:rPr>
        <w:t>διαγενεακής</w:t>
      </w:r>
      <w:proofErr w:type="spellEnd"/>
      <w:r w:rsidRPr="009C3AC6">
        <w:rPr>
          <w:lang w:val="el-GR"/>
        </w:rPr>
        <w:t xml:space="preserve"> συνέχειας, του μετασχηματισμού και της διακοπής της. Οι αφηγήσεις εξηγούν τους μηχανισμούς πίσω από τους αριθμούς: γιατί η βία τραυματίζει, γιατί η αποχώρηση είναι δύσκολη, πώς το τραύμα περνά στην επόμενη γενιά και πώς μπορεί να διακοπεί</w:t>
      </w:r>
      <w:r w:rsidRPr="00D852FE">
        <w:rPr>
          <w:lang w:val="el-GR"/>
        </w:rPr>
        <w:t>.</w:t>
      </w:r>
    </w:p>
    <w:p w14:paraId="287BE2F7" w14:textId="68B091AC" w:rsidR="00E63D5B" w:rsidRPr="00132066" w:rsidRDefault="001F059D">
      <w:pPr>
        <w:keepNext/>
        <w:spacing w:after="60"/>
        <w:jc w:val="left"/>
        <w:rPr>
          <w:lang w:val="el-GR"/>
        </w:rPr>
      </w:pPr>
      <w:r>
        <w:rPr>
          <w:b/>
          <w:bCs/>
          <w:color w:val="1D2B44"/>
          <w:sz w:val="20"/>
          <w:szCs w:val="20"/>
          <w:lang w:val="el-GR"/>
        </w:rPr>
        <w:t xml:space="preserve">Πίνακας </w:t>
      </w:r>
      <w:r w:rsidR="00EB7D96">
        <w:rPr>
          <w:b/>
          <w:bCs/>
          <w:color w:val="1D2B44"/>
          <w:sz w:val="20"/>
          <w:szCs w:val="20"/>
          <w:lang w:val="el-GR"/>
        </w:rPr>
        <w:t>9</w:t>
      </w:r>
      <w:r>
        <w:rPr>
          <w:b/>
          <w:bCs/>
          <w:color w:val="1D2B44"/>
          <w:sz w:val="20"/>
          <w:szCs w:val="20"/>
          <w:lang w:val="el-GR"/>
        </w:rPr>
        <w:t xml:space="preserve">. </w:t>
      </w:r>
      <w:r>
        <w:rPr>
          <w:i/>
          <w:iCs/>
          <w:color w:val="1D2B44"/>
          <w:sz w:val="20"/>
          <w:szCs w:val="20"/>
          <w:lang w:val="el-GR"/>
        </w:rPr>
        <w:t>Στόχοι της έρευνας, βασικά ευρήματα και συμπεράσματα</w:t>
      </w:r>
    </w:p>
    <w:tbl>
      <w:tblPr>
        <w:tblStyle w:val="afff5"/>
        <w:tblW w:w="9072" w:type="dxa"/>
        <w:jc w:val="center"/>
        <w:tblLayout w:type="fixed"/>
        <w:tblLook w:val="0400" w:firstRow="0" w:lastRow="0" w:firstColumn="0" w:lastColumn="0" w:noHBand="0" w:noVBand="1"/>
      </w:tblPr>
      <w:tblGrid>
        <w:gridCol w:w="3024"/>
        <w:gridCol w:w="3024"/>
        <w:gridCol w:w="3024"/>
      </w:tblGrid>
      <w:tr w:rsidR="00E63D5B" w14:paraId="30892E5B" w14:textId="77777777">
        <w:trPr>
          <w:cantSplit/>
          <w:tblHeader/>
          <w:jc w:val="center"/>
        </w:trPr>
        <w:tc>
          <w:tcPr>
            <w:tcW w:w="3024" w:type="dxa"/>
            <w:tcBorders>
              <w:top w:val="single" w:sz="4" w:space="0" w:color="BFBFBF"/>
              <w:left w:val="single" w:sz="4" w:space="0" w:color="BFBFBF"/>
              <w:bottom w:val="single" w:sz="4" w:space="0" w:color="BFBFBF"/>
              <w:right w:val="single" w:sz="4" w:space="0" w:color="BFBFBF"/>
            </w:tcBorders>
            <w:shd w:val="clear" w:color="auto" w:fill="4A6FA5"/>
          </w:tcPr>
          <w:p w14:paraId="33BEE4B0" w14:textId="77777777" w:rsidR="00E63D5B" w:rsidRDefault="001F059D">
            <w:pPr>
              <w:spacing w:after="40" w:line="240" w:lineRule="auto"/>
              <w:jc w:val="left"/>
            </w:pPr>
            <w:proofErr w:type="spellStart"/>
            <w:r>
              <w:rPr>
                <w:b/>
                <w:bCs/>
                <w:color w:val="FFFFFF"/>
                <w:sz w:val="19"/>
                <w:szCs w:val="19"/>
              </w:rPr>
              <w:t>Στόχος</w:t>
            </w:r>
            <w:proofErr w:type="spellEnd"/>
          </w:p>
        </w:tc>
        <w:tc>
          <w:tcPr>
            <w:tcW w:w="3024" w:type="dxa"/>
            <w:tcBorders>
              <w:top w:val="single" w:sz="4" w:space="0" w:color="BFBFBF"/>
              <w:left w:val="single" w:sz="4" w:space="0" w:color="BFBFBF"/>
              <w:bottom w:val="single" w:sz="4" w:space="0" w:color="BFBFBF"/>
              <w:right w:val="single" w:sz="4" w:space="0" w:color="BFBFBF"/>
            </w:tcBorders>
            <w:shd w:val="clear" w:color="auto" w:fill="4A6FA5"/>
          </w:tcPr>
          <w:p w14:paraId="3D580E4D" w14:textId="77777777" w:rsidR="00E63D5B" w:rsidRDefault="001F059D">
            <w:pPr>
              <w:spacing w:after="40" w:line="240" w:lineRule="auto"/>
              <w:jc w:val="left"/>
            </w:pPr>
            <w:r>
              <w:rPr>
                <w:b/>
                <w:bCs/>
                <w:color w:val="FFFFFF"/>
                <w:sz w:val="19"/>
                <w:szCs w:val="19"/>
              </w:rPr>
              <w:t>Βα</w:t>
            </w:r>
            <w:proofErr w:type="spellStart"/>
            <w:r>
              <w:rPr>
                <w:b/>
                <w:bCs/>
                <w:color w:val="FFFFFF"/>
                <w:sz w:val="19"/>
                <w:szCs w:val="19"/>
              </w:rPr>
              <w:t>σικά</w:t>
            </w:r>
            <w:proofErr w:type="spellEnd"/>
            <w:r>
              <w:rPr>
                <w:b/>
                <w:bCs/>
                <w:color w:val="FFFFFF"/>
                <w:sz w:val="19"/>
                <w:szCs w:val="19"/>
              </w:rPr>
              <w:t xml:space="preserve"> </w:t>
            </w:r>
            <w:proofErr w:type="spellStart"/>
            <w:r>
              <w:rPr>
                <w:b/>
                <w:bCs/>
                <w:color w:val="FFFFFF"/>
                <w:sz w:val="19"/>
                <w:szCs w:val="19"/>
              </w:rPr>
              <w:t>ευρήμ</w:t>
            </w:r>
            <w:proofErr w:type="spellEnd"/>
            <w:r>
              <w:rPr>
                <w:b/>
                <w:bCs/>
                <w:color w:val="FFFFFF"/>
                <w:sz w:val="19"/>
                <w:szCs w:val="19"/>
              </w:rPr>
              <w:t>ατα</w:t>
            </w:r>
          </w:p>
        </w:tc>
        <w:tc>
          <w:tcPr>
            <w:tcW w:w="3024" w:type="dxa"/>
            <w:tcBorders>
              <w:top w:val="single" w:sz="4" w:space="0" w:color="BFBFBF"/>
              <w:left w:val="single" w:sz="4" w:space="0" w:color="BFBFBF"/>
              <w:bottom w:val="single" w:sz="4" w:space="0" w:color="BFBFBF"/>
              <w:right w:val="single" w:sz="4" w:space="0" w:color="BFBFBF"/>
            </w:tcBorders>
            <w:shd w:val="clear" w:color="auto" w:fill="4A6FA5"/>
          </w:tcPr>
          <w:p w14:paraId="76297C0E" w14:textId="77777777" w:rsidR="00E63D5B" w:rsidRDefault="001F059D">
            <w:pPr>
              <w:spacing w:after="40" w:line="240" w:lineRule="auto"/>
              <w:jc w:val="left"/>
            </w:pPr>
            <w:proofErr w:type="spellStart"/>
            <w:r>
              <w:rPr>
                <w:b/>
                <w:bCs/>
                <w:color w:val="FFFFFF"/>
                <w:sz w:val="19"/>
                <w:szCs w:val="19"/>
              </w:rPr>
              <w:t>Συμ</w:t>
            </w:r>
            <w:proofErr w:type="spellEnd"/>
            <w:r>
              <w:rPr>
                <w:b/>
                <w:bCs/>
                <w:color w:val="FFFFFF"/>
                <w:sz w:val="19"/>
                <w:szCs w:val="19"/>
              </w:rPr>
              <w:t>πέρασμα</w:t>
            </w:r>
          </w:p>
        </w:tc>
      </w:tr>
      <w:tr w:rsidR="00E63D5B" w:rsidRPr="00D84B1E" w14:paraId="4E9251C3"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tcPr>
          <w:p w14:paraId="19C429E9" w14:textId="77777777" w:rsidR="00E63D5B" w:rsidRPr="00132066" w:rsidRDefault="001F059D">
            <w:pPr>
              <w:spacing w:after="40" w:line="240" w:lineRule="auto"/>
              <w:jc w:val="left"/>
              <w:rPr>
                <w:lang w:val="el-GR"/>
              </w:rPr>
            </w:pPr>
            <w:r>
              <w:rPr>
                <w:sz w:val="19"/>
                <w:szCs w:val="19"/>
                <w:lang w:val="el-GR"/>
              </w:rPr>
              <w:t>(α) Σχέση του τραύματος με την ποιότητα ζωής και τη σωματική και ψυχική υγεία των γυναικών</w:t>
            </w:r>
          </w:p>
        </w:tc>
        <w:tc>
          <w:tcPr>
            <w:tcW w:w="3024" w:type="dxa"/>
            <w:tcBorders>
              <w:top w:val="single" w:sz="4" w:space="0" w:color="BFBFBF"/>
              <w:left w:val="single" w:sz="4" w:space="0" w:color="BFBFBF"/>
              <w:bottom w:val="single" w:sz="4" w:space="0" w:color="BFBFBF"/>
              <w:right w:val="single" w:sz="4" w:space="0" w:color="BFBFBF"/>
            </w:tcBorders>
          </w:tcPr>
          <w:p w14:paraId="158882C0" w14:textId="77777777" w:rsidR="00E63D5B" w:rsidRPr="00132066" w:rsidRDefault="001F059D">
            <w:pPr>
              <w:spacing w:after="40" w:line="240" w:lineRule="auto"/>
              <w:jc w:val="left"/>
              <w:rPr>
                <w:lang w:val="el-GR"/>
              </w:rPr>
            </w:pPr>
            <w:r>
              <w:rPr>
                <w:sz w:val="19"/>
                <w:szCs w:val="19"/>
                <w:lang w:val="el-GR"/>
              </w:rPr>
              <w:t>62,7% πιθανή ΔΜΤΣ, 42,6% πιθανή κατάθλιψη, 89% μέτριο έως υψηλό στρες. Το τραύμα συσχετίζεται πολύ ισχυρά με την κατάθλιψη, ισχυρά με το στρες και αρνητικά με όλους τους τομείς της ποιότητας ζωής· οι γυναίκες με ΔΜΤΣ έχουν πολύ χαμηλότερη ψυχολογική, σωματική και κοινωνική ποιότητα ζωής. Η βία επιδρά στην ψυχική υγεία μέσα από την αίσθηση αδυναμίας ελέγχου. Ποιοτικά: το σώμα σε διαρκή ετοιμότητα, η διάβρωση της εμπιστοσύνης και της ταυτότητας</w:t>
            </w:r>
          </w:p>
        </w:tc>
        <w:tc>
          <w:tcPr>
            <w:tcW w:w="3024" w:type="dxa"/>
            <w:tcBorders>
              <w:top w:val="single" w:sz="4" w:space="0" w:color="BFBFBF"/>
              <w:left w:val="single" w:sz="4" w:space="0" w:color="BFBFBF"/>
              <w:bottom w:val="single" w:sz="4" w:space="0" w:color="BFBFBF"/>
              <w:right w:val="single" w:sz="4" w:space="0" w:color="BFBFBF"/>
            </w:tcBorders>
          </w:tcPr>
          <w:p w14:paraId="310CAE95" w14:textId="77777777" w:rsidR="00E63D5B" w:rsidRPr="00132066" w:rsidRDefault="001F059D">
            <w:pPr>
              <w:spacing w:after="40" w:line="240" w:lineRule="auto"/>
              <w:jc w:val="left"/>
              <w:rPr>
                <w:lang w:val="el-GR"/>
              </w:rPr>
            </w:pPr>
            <w:r>
              <w:rPr>
                <w:sz w:val="19"/>
                <w:szCs w:val="19"/>
                <w:lang w:val="el-GR"/>
              </w:rPr>
              <w:t xml:space="preserve">Το τραύμα οργανώνει το σύνολο της επιβάρυνσης. Η αξιολόγηση και η φροντίδα των επιζωσών πρέπει να είναι </w:t>
            </w:r>
            <w:proofErr w:type="spellStart"/>
            <w:r>
              <w:rPr>
                <w:sz w:val="19"/>
                <w:szCs w:val="19"/>
                <w:lang w:val="el-GR"/>
              </w:rPr>
              <w:t>τραυματοκεντρικές</w:t>
            </w:r>
            <w:proofErr w:type="spellEnd"/>
            <w:r>
              <w:rPr>
                <w:sz w:val="19"/>
                <w:szCs w:val="19"/>
                <w:lang w:val="el-GR"/>
              </w:rPr>
              <w:t>, να εστιάζουν στην αποκατάσταση του ελέγχου και των κοινωνικών σχέσεων και να λαμβάνουν υπόψη τη σωματική υγεία</w:t>
            </w:r>
          </w:p>
        </w:tc>
      </w:tr>
      <w:tr w:rsidR="00E63D5B" w:rsidRPr="00D84B1E" w14:paraId="1C644581" w14:textId="77777777">
        <w:trPr>
          <w:jc w:val="center"/>
        </w:trPr>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5E577231" w14:textId="77777777" w:rsidR="00E63D5B" w:rsidRPr="00132066" w:rsidRDefault="001F059D">
            <w:pPr>
              <w:spacing w:after="40" w:line="240" w:lineRule="auto"/>
              <w:jc w:val="left"/>
              <w:rPr>
                <w:lang w:val="el-GR"/>
              </w:rPr>
            </w:pPr>
            <w:r>
              <w:rPr>
                <w:sz w:val="19"/>
                <w:szCs w:val="19"/>
                <w:lang w:val="el-GR"/>
              </w:rPr>
              <w:t xml:space="preserve">(β) Τραύμα, ψυχοκοινωνική προσαρμογή, </w:t>
            </w:r>
            <w:proofErr w:type="spellStart"/>
            <w:r>
              <w:rPr>
                <w:sz w:val="19"/>
                <w:szCs w:val="19"/>
                <w:lang w:val="el-GR"/>
              </w:rPr>
              <w:t>μετατραυματική</w:t>
            </w:r>
            <w:proofErr w:type="spellEnd"/>
            <w:r>
              <w:rPr>
                <w:sz w:val="19"/>
                <w:szCs w:val="19"/>
                <w:lang w:val="el-GR"/>
              </w:rPr>
              <w:t xml:space="preserve"> ανάπτυξη και ανθεκτικότητα των παιδιών</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5BC49F29" w14:textId="77777777" w:rsidR="00E63D5B" w:rsidRPr="00132066" w:rsidRDefault="001F059D">
            <w:pPr>
              <w:spacing w:after="40" w:line="240" w:lineRule="auto"/>
              <w:jc w:val="left"/>
              <w:rPr>
                <w:lang w:val="el-GR"/>
              </w:rPr>
            </w:pPr>
            <w:r>
              <w:rPr>
                <w:sz w:val="19"/>
                <w:szCs w:val="19"/>
                <w:lang w:val="el-GR"/>
              </w:rPr>
              <w:t xml:space="preserve">79% των παιδιών εκτεθειμένα σε τουλάχιστον μία μορφή βίας, 51% παρόντα σε βία κατά της μητέρας. Τα παιδιά μητέρων με ΔΜΤΣ έχουν περισσότερα συναισθηματικά συμπτώματα και προβλήματα διαγωγής (αναφορές μητέρων). Οι έφηβοι που απάντησαν οι ίδιοι ανέφεραν μέτρια </w:t>
            </w:r>
            <w:proofErr w:type="spellStart"/>
            <w:r>
              <w:rPr>
                <w:sz w:val="19"/>
                <w:szCs w:val="19"/>
                <w:lang w:val="el-GR"/>
              </w:rPr>
              <w:t>μετατραυματικά</w:t>
            </w:r>
            <w:proofErr w:type="spellEnd"/>
            <w:r>
              <w:rPr>
                <w:sz w:val="19"/>
                <w:szCs w:val="19"/>
                <w:lang w:val="el-GR"/>
              </w:rPr>
              <w:t xml:space="preserve"> συμπτώματα, υψηλή ποιότητα ζωής, μέτρια ανθεκτικότητα και μέτρια έως υψηλή ανάπτυξη. Ποιοτικά: σωματοποίηση, απόσυρση, </w:t>
            </w:r>
            <w:proofErr w:type="spellStart"/>
            <w:r>
              <w:rPr>
                <w:sz w:val="19"/>
                <w:szCs w:val="19"/>
                <w:lang w:val="el-GR"/>
              </w:rPr>
              <w:t>γονεοποίηση</w:t>
            </w:r>
            <w:proofErr w:type="spellEnd"/>
            <w:r>
              <w:rPr>
                <w:sz w:val="19"/>
                <w:szCs w:val="19"/>
                <w:lang w:val="el-GR"/>
              </w:rPr>
              <w:t>, μίμηση, αλλά και φωνή και αντίσταση</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211ACE2D" w14:textId="77777777" w:rsidR="00E63D5B" w:rsidRPr="00132066" w:rsidRDefault="001F059D">
            <w:pPr>
              <w:spacing w:after="40" w:line="240" w:lineRule="auto"/>
              <w:jc w:val="left"/>
              <w:rPr>
                <w:lang w:val="el-GR"/>
              </w:rPr>
            </w:pPr>
            <w:r>
              <w:rPr>
                <w:sz w:val="19"/>
                <w:szCs w:val="19"/>
                <w:lang w:val="el-GR"/>
              </w:rPr>
              <w:t>Τα παιδιά ζουν μέσα στη βία και επηρεάζονται, με ποικιλία αντιδράσεων και όχι ενιαίο προφίλ. Κάθε παιδί που έχει εκτεθεί χρειάζεται δική του αξιολόγηση και υποστήριξη, ακόμη και χωρίς άμεση κακοποίηση. Η ανθεκτικότητα και η ανάπτυξη των εφήβων δείχνουν ότι η επιβάρυνση δεν είναι μοιραία</w:t>
            </w:r>
          </w:p>
        </w:tc>
      </w:tr>
      <w:tr w:rsidR="00E63D5B" w:rsidRPr="00D84B1E" w14:paraId="057EC286" w14:textId="77777777">
        <w:trPr>
          <w:jc w:val="center"/>
        </w:trPr>
        <w:tc>
          <w:tcPr>
            <w:tcW w:w="3024" w:type="dxa"/>
            <w:tcBorders>
              <w:top w:val="single" w:sz="4" w:space="0" w:color="BFBFBF"/>
              <w:left w:val="single" w:sz="4" w:space="0" w:color="BFBFBF"/>
              <w:bottom w:val="single" w:sz="4" w:space="0" w:color="BFBFBF"/>
              <w:right w:val="single" w:sz="4" w:space="0" w:color="BFBFBF"/>
            </w:tcBorders>
          </w:tcPr>
          <w:p w14:paraId="4DCB1F55" w14:textId="77777777" w:rsidR="00E63D5B" w:rsidRPr="00132066" w:rsidRDefault="001F059D">
            <w:pPr>
              <w:spacing w:after="40" w:line="240" w:lineRule="auto"/>
              <w:jc w:val="left"/>
              <w:rPr>
                <w:lang w:val="el-GR"/>
              </w:rPr>
            </w:pPr>
            <w:r>
              <w:rPr>
                <w:sz w:val="19"/>
                <w:szCs w:val="19"/>
                <w:lang w:val="el-GR"/>
              </w:rPr>
              <w:t xml:space="preserve">(γ) </w:t>
            </w:r>
            <w:proofErr w:type="spellStart"/>
            <w:r>
              <w:rPr>
                <w:sz w:val="19"/>
                <w:szCs w:val="19"/>
                <w:lang w:val="el-GR"/>
              </w:rPr>
              <w:t>Διαγενεακή</w:t>
            </w:r>
            <w:proofErr w:type="spellEnd"/>
            <w:r>
              <w:rPr>
                <w:sz w:val="19"/>
                <w:szCs w:val="19"/>
                <w:lang w:val="el-GR"/>
              </w:rPr>
              <w:t xml:space="preserve"> μετάδοση και ο ρόλος του γονικού δεσμού και των γονικών πρακτικών</w:t>
            </w:r>
          </w:p>
        </w:tc>
        <w:tc>
          <w:tcPr>
            <w:tcW w:w="3024" w:type="dxa"/>
            <w:tcBorders>
              <w:top w:val="single" w:sz="4" w:space="0" w:color="BFBFBF"/>
              <w:left w:val="single" w:sz="4" w:space="0" w:color="BFBFBF"/>
              <w:bottom w:val="single" w:sz="4" w:space="0" w:color="BFBFBF"/>
              <w:right w:val="single" w:sz="4" w:space="0" w:color="BFBFBF"/>
            </w:tcBorders>
          </w:tcPr>
          <w:p w14:paraId="047DE5EF" w14:textId="78D0925A" w:rsidR="00E63D5B" w:rsidRPr="00132066" w:rsidRDefault="001F059D">
            <w:pPr>
              <w:spacing w:after="40" w:line="240" w:lineRule="auto"/>
              <w:jc w:val="left"/>
              <w:rPr>
                <w:lang w:val="el-GR"/>
              </w:rPr>
            </w:pPr>
            <w:r>
              <w:rPr>
                <w:sz w:val="19"/>
                <w:szCs w:val="19"/>
                <w:lang w:val="el-GR"/>
              </w:rPr>
              <w:t xml:space="preserve">Σχεδόν 9 στις 10 γυναίκες με σωματική ή συναισθηματική κακοποίηση στην παιδική ηλικία· η ΔΜΤΣ συνδέεται κυρίως με το διαπροσωπικό τραύμα. Βία μητέρας ↔ έκθεση παιδιού (μέτρια συσχέτιση, μορφή προς μορφή). Οι μητέρες με ΔΜΤΣ είναι πιο υπερπροστατευτικές και αγχώδεις αλλά εξίσου ζεστές· η ένταση της βίας δεν συνδέεται με τις γονικές πρακτικές. Ο γονικός δεσμός δεν εξηγεί το τραύμα (απροσδόκητο εύρημα μητρικής </w:t>
            </w:r>
            <w:r>
              <w:rPr>
                <w:sz w:val="19"/>
                <w:szCs w:val="19"/>
                <w:lang w:val="el-GR"/>
              </w:rPr>
              <w:lastRenderedPageBreak/>
              <w:t xml:space="preserve">φροντίδας). Ποιοτικά: μεταδίδονται τα όρια του «οικείου», η ανοχή, η σιωπή, τα </w:t>
            </w:r>
            <w:proofErr w:type="spellStart"/>
            <w:r>
              <w:rPr>
                <w:sz w:val="19"/>
                <w:szCs w:val="19"/>
                <w:lang w:val="el-GR"/>
              </w:rPr>
              <w:t>έμφυλα</w:t>
            </w:r>
            <w:proofErr w:type="spellEnd"/>
            <w:r>
              <w:rPr>
                <w:sz w:val="19"/>
                <w:szCs w:val="19"/>
                <w:lang w:val="el-GR"/>
              </w:rPr>
              <w:t xml:space="preserve"> «πρέπει» αλλά και η φροντίδα και η </w:t>
            </w:r>
            <w:proofErr w:type="spellStart"/>
            <w:r>
              <w:rPr>
                <w:sz w:val="19"/>
                <w:szCs w:val="19"/>
                <w:lang w:val="el-GR"/>
              </w:rPr>
              <w:t>ανθεκτικότητα·αποκλίνουσες</w:t>
            </w:r>
            <w:proofErr w:type="spellEnd"/>
            <w:r>
              <w:rPr>
                <w:sz w:val="19"/>
                <w:szCs w:val="19"/>
                <w:lang w:val="el-GR"/>
              </w:rPr>
              <w:t xml:space="preserve"> περιπτώσεις</w:t>
            </w:r>
          </w:p>
        </w:tc>
        <w:tc>
          <w:tcPr>
            <w:tcW w:w="3024" w:type="dxa"/>
            <w:tcBorders>
              <w:top w:val="single" w:sz="4" w:space="0" w:color="BFBFBF"/>
              <w:left w:val="single" w:sz="4" w:space="0" w:color="BFBFBF"/>
              <w:bottom w:val="single" w:sz="4" w:space="0" w:color="BFBFBF"/>
              <w:right w:val="single" w:sz="4" w:space="0" w:color="BFBFBF"/>
            </w:tcBorders>
          </w:tcPr>
          <w:p w14:paraId="6CEAC46F" w14:textId="77777777" w:rsidR="00E63D5B" w:rsidRPr="00132066" w:rsidRDefault="001F059D">
            <w:pPr>
              <w:spacing w:after="40" w:line="240" w:lineRule="auto"/>
              <w:jc w:val="left"/>
              <w:rPr>
                <w:lang w:val="el-GR"/>
              </w:rPr>
            </w:pPr>
            <w:r>
              <w:rPr>
                <w:sz w:val="19"/>
                <w:szCs w:val="19"/>
                <w:lang w:val="el-GR"/>
              </w:rPr>
              <w:lastRenderedPageBreak/>
              <w:t xml:space="preserve">Η </w:t>
            </w:r>
            <w:proofErr w:type="spellStart"/>
            <w:r>
              <w:rPr>
                <w:sz w:val="19"/>
                <w:szCs w:val="19"/>
                <w:lang w:val="el-GR"/>
              </w:rPr>
              <w:t>διαγενεακή</w:t>
            </w:r>
            <w:proofErr w:type="spellEnd"/>
            <w:r>
              <w:rPr>
                <w:sz w:val="19"/>
                <w:szCs w:val="19"/>
                <w:lang w:val="el-GR"/>
              </w:rPr>
              <w:t xml:space="preserve"> συνέχεια είναι πραγματική αλλά </w:t>
            </w:r>
            <w:proofErr w:type="spellStart"/>
            <w:r>
              <w:rPr>
                <w:sz w:val="19"/>
                <w:szCs w:val="19"/>
                <w:lang w:val="el-GR"/>
              </w:rPr>
              <w:t>πιθανοκρατική</w:t>
            </w:r>
            <w:proofErr w:type="spellEnd"/>
            <w:r>
              <w:rPr>
                <w:sz w:val="19"/>
                <w:szCs w:val="19"/>
                <w:lang w:val="el-GR"/>
              </w:rPr>
              <w:t xml:space="preserve"> και οικολογική, όχι αιτιοκρατική. Ο κύριος δίαυλος από τη βία στο παιδί είναι η ψυχική υγεία της μητέρας, όχι η μορφή της βίας ούτε ένα «ελλειμματικό» μητρικό στυλ. Η θεραπεία του μητρικού τραύματος και η ενίσχυση της σχέσης μητέρας–παιδιού, χωρίς ενοχοποίηση, είναι ο πιο αποτελεσματικός τρόπος διακοπής της μετάδοσης</w:t>
            </w:r>
          </w:p>
        </w:tc>
      </w:tr>
      <w:tr w:rsidR="00E63D5B" w:rsidRPr="00D84B1E" w14:paraId="77D6E434" w14:textId="77777777">
        <w:trPr>
          <w:jc w:val="center"/>
        </w:trPr>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6AF94D3E" w14:textId="77777777" w:rsidR="00E63D5B" w:rsidRPr="00132066" w:rsidRDefault="001F059D">
            <w:pPr>
              <w:spacing w:after="40" w:line="240" w:lineRule="auto"/>
              <w:jc w:val="left"/>
              <w:rPr>
                <w:lang w:val="el-GR"/>
              </w:rPr>
            </w:pPr>
            <w:r>
              <w:rPr>
                <w:sz w:val="19"/>
                <w:szCs w:val="19"/>
                <w:lang w:val="el-GR"/>
              </w:rPr>
              <w:t xml:space="preserve">(δ) Σχέση του τραύματος με τη </w:t>
            </w:r>
            <w:proofErr w:type="spellStart"/>
            <w:r>
              <w:rPr>
                <w:sz w:val="19"/>
                <w:szCs w:val="19"/>
                <w:lang w:val="el-GR"/>
              </w:rPr>
              <w:t>μετατραυματική</w:t>
            </w:r>
            <w:proofErr w:type="spellEnd"/>
            <w:r>
              <w:rPr>
                <w:sz w:val="19"/>
                <w:szCs w:val="19"/>
                <w:lang w:val="el-GR"/>
              </w:rPr>
              <w:t xml:space="preserve"> ανάπτυξη των γυναικών και παράγοντες που τη διαφοροποιούν</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7915370F" w14:textId="748B8672" w:rsidR="00E63D5B" w:rsidRPr="00132066" w:rsidRDefault="001F059D">
            <w:pPr>
              <w:spacing w:after="40" w:line="240" w:lineRule="auto"/>
              <w:jc w:val="left"/>
              <w:rPr>
                <w:lang w:val="el-GR"/>
              </w:rPr>
            </w:pPr>
            <w:r>
              <w:rPr>
                <w:sz w:val="19"/>
                <w:szCs w:val="19"/>
                <w:lang w:val="el-GR"/>
              </w:rPr>
              <w:t xml:space="preserve">Η ένταση της βίας δεν συνδέεται ευθέως με την ανάπτυξη: δύο αντίθετες διαδρομές, με το στρες και την κατάθλιψη να εμποδίζουν την ανάπτυξη. Το τραύμα δεν διαφοροποιείται </w:t>
            </w:r>
            <w:proofErr w:type="spellStart"/>
            <w:r>
              <w:rPr>
                <w:sz w:val="19"/>
                <w:szCs w:val="19"/>
                <w:lang w:val="el-GR"/>
              </w:rPr>
              <w:t>δημογραφικά·η</w:t>
            </w:r>
            <w:proofErr w:type="spellEnd"/>
            <w:r>
              <w:rPr>
                <w:sz w:val="19"/>
                <w:szCs w:val="19"/>
                <w:lang w:val="el-GR"/>
              </w:rPr>
              <w:t xml:space="preserve"> ανάπτυξη διαφοροποιείται ως προς την εκπαίδευση και την εργασία (μικρά μεγέθη επίδρασης). Ποιοτικά: η ανάπτυξη έρχεται μετά την ασφάλεια, συνυπάρχει με το τραύμα, είναι σχεσιακή (τα παιδιά ως καταλύτης) και οδηγεί στην προσφορά προς άλλες</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3DEE3E40" w14:textId="77777777" w:rsidR="00E63D5B" w:rsidRPr="00132066" w:rsidRDefault="001F059D">
            <w:pPr>
              <w:spacing w:after="40" w:line="240" w:lineRule="auto"/>
              <w:jc w:val="left"/>
              <w:rPr>
                <w:lang w:val="el-GR"/>
              </w:rPr>
            </w:pPr>
            <w:r>
              <w:rPr>
                <w:sz w:val="19"/>
                <w:szCs w:val="19"/>
                <w:lang w:val="el-GR"/>
              </w:rPr>
              <w:t xml:space="preserve">Η </w:t>
            </w:r>
            <w:proofErr w:type="spellStart"/>
            <w:r>
              <w:rPr>
                <w:sz w:val="19"/>
                <w:szCs w:val="19"/>
                <w:lang w:val="el-GR"/>
              </w:rPr>
              <w:t>μετατραυματική</w:t>
            </w:r>
            <w:proofErr w:type="spellEnd"/>
            <w:r>
              <w:rPr>
                <w:sz w:val="19"/>
                <w:szCs w:val="19"/>
                <w:lang w:val="el-GR"/>
              </w:rPr>
              <w:t xml:space="preserve"> ανάπτυξη δεν είναι αυτόματη συνέπεια του τραύματος αλλά αποτέλεσμα επεξεργασίας που γίνεται δυνατή μόνο όταν υποχωρήσει η δυσφορία. Η αποκατάσταση της ασφάλειας και η μείωση του στρες δεν είναι μόνο ανακούφιση· είναι προϋπόθεση </w:t>
            </w:r>
            <w:proofErr w:type="spellStart"/>
            <w:r>
              <w:rPr>
                <w:sz w:val="19"/>
                <w:szCs w:val="19"/>
                <w:lang w:val="el-GR"/>
              </w:rPr>
              <w:t>νοηματοδότησης</w:t>
            </w:r>
            <w:proofErr w:type="spellEnd"/>
            <w:r>
              <w:rPr>
                <w:sz w:val="19"/>
                <w:szCs w:val="19"/>
                <w:lang w:val="el-GR"/>
              </w:rPr>
              <w:t>. Η ανάπτυξη δεν πρέπει να χρησιμοποιείται για να υποβαθμιστεί η βλάβη</w:t>
            </w:r>
          </w:p>
        </w:tc>
      </w:tr>
      <w:tr w:rsidR="00E63D5B" w:rsidRPr="00D84B1E" w14:paraId="60D71C45" w14:textId="77777777">
        <w:trPr>
          <w:jc w:val="center"/>
        </w:trPr>
        <w:tc>
          <w:tcPr>
            <w:tcW w:w="3024" w:type="dxa"/>
            <w:tcBorders>
              <w:top w:val="single" w:sz="4" w:space="0" w:color="BFBFBF"/>
              <w:left w:val="single" w:sz="4" w:space="0" w:color="BFBFBF"/>
              <w:bottom w:val="single" w:sz="4" w:space="0" w:color="BFBFBF"/>
              <w:right w:val="single" w:sz="4" w:space="0" w:color="BFBFBF"/>
            </w:tcBorders>
          </w:tcPr>
          <w:p w14:paraId="09FD9F9F" w14:textId="77777777" w:rsidR="00E63D5B" w:rsidRPr="00132066" w:rsidRDefault="001F059D">
            <w:pPr>
              <w:spacing w:after="40" w:line="240" w:lineRule="auto"/>
              <w:jc w:val="left"/>
              <w:rPr>
                <w:lang w:val="el-GR"/>
              </w:rPr>
            </w:pPr>
            <w:r>
              <w:rPr>
                <w:sz w:val="19"/>
                <w:szCs w:val="19"/>
                <w:lang w:val="el-GR"/>
              </w:rPr>
              <w:t>(ε) Η εμπειρία της βίας σε μετανάστριες και προσφύγισσες</w:t>
            </w:r>
          </w:p>
        </w:tc>
        <w:tc>
          <w:tcPr>
            <w:tcW w:w="3024" w:type="dxa"/>
            <w:tcBorders>
              <w:top w:val="single" w:sz="4" w:space="0" w:color="BFBFBF"/>
              <w:left w:val="single" w:sz="4" w:space="0" w:color="BFBFBF"/>
              <w:bottom w:val="single" w:sz="4" w:space="0" w:color="BFBFBF"/>
              <w:right w:val="single" w:sz="4" w:space="0" w:color="BFBFBF"/>
            </w:tcBorders>
          </w:tcPr>
          <w:p w14:paraId="61E14CA2" w14:textId="77777777" w:rsidR="00E63D5B" w:rsidRPr="00132066" w:rsidRDefault="001F059D">
            <w:pPr>
              <w:spacing w:after="40" w:line="240" w:lineRule="auto"/>
              <w:jc w:val="left"/>
              <w:rPr>
                <w:lang w:val="el-GR"/>
              </w:rPr>
            </w:pPr>
            <w:r>
              <w:rPr>
                <w:sz w:val="19"/>
                <w:szCs w:val="19"/>
                <w:lang w:val="el-GR"/>
              </w:rPr>
              <w:t xml:space="preserve">40 γυναίκες γεννημένες εκτός Ελλάδας (18,1%), κυρίως από την Αλβανία. Χειρότερη οικονομική κατάσταση (32,5% χαμηλή έναντι 12,7%), αλλά όχι διαφορές στο τραύμα, το στρες, την ανθεκτικότητα, το πρώιμο τραύμα, τη γονεϊκότητα· λιγότερη κατάθλιψη και καλύτερη σωματική ποιότητα ζωής από τις Ελληνίδες. Ποιοτικά (2 μετανάστριες): γλωσσικοί και νομικοί φραγμοί, εκμετάλλευση μέσω της μετανάστευσης, πολιτισμικά οργανωμένη </w:t>
            </w:r>
            <w:proofErr w:type="spellStart"/>
            <w:r>
              <w:rPr>
                <w:sz w:val="19"/>
                <w:szCs w:val="19"/>
                <w:lang w:val="el-GR"/>
              </w:rPr>
              <w:t>διαγενεακή</w:t>
            </w:r>
            <w:proofErr w:type="spellEnd"/>
            <w:r>
              <w:rPr>
                <w:sz w:val="19"/>
                <w:szCs w:val="19"/>
                <w:lang w:val="el-GR"/>
              </w:rPr>
              <w:t xml:space="preserve"> συνέχεια (πρώιμοι γάμοι), προτάσεις που συγκλίνουν με του κύριου δείγματος</w:t>
            </w:r>
          </w:p>
        </w:tc>
        <w:tc>
          <w:tcPr>
            <w:tcW w:w="3024" w:type="dxa"/>
            <w:tcBorders>
              <w:top w:val="single" w:sz="4" w:space="0" w:color="BFBFBF"/>
              <w:left w:val="single" w:sz="4" w:space="0" w:color="BFBFBF"/>
              <w:bottom w:val="single" w:sz="4" w:space="0" w:color="BFBFBF"/>
              <w:right w:val="single" w:sz="4" w:space="0" w:color="BFBFBF"/>
            </w:tcBorders>
          </w:tcPr>
          <w:p w14:paraId="1B45D3B2" w14:textId="77777777" w:rsidR="00E63D5B" w:rsidRPr="00132066" w:rsidRDefault="001F059D">
            <w:pPr>
              <w:spacing w:after="40" w:line="240" w:lineRule="auto"/>
              <w:jc w:val="left"/>
              <w:rPr>
                <w:lang w:val="el-GR"/>
              </w:rPr>
            </w:pPr>
            <w:r>
              <w:rPr>
                <w:sz w:val="19"/>
                <w:szCs w:val="19"/>
                <w:lang w:val="el-GR"/>
              </w:rPr>
              <w:t xml:space="preserve">Η </w:t>
            </w:r>
            <w:proofErr w:type="spellStart"/>
            <w:r>
              <w:rPr>
                <w:sz w:val="19"/>
                <w:szCs w:val="19"/>
                <w:lang w:val="el-GR"/>
              </w:rPr>
              <w:t>ευαλωτότητα</w:t>
            </w:r>
            <w:proofErr w:type="spellEnd"/>
            <w:r>
              <w:rPr>
                <w:sz w:val="19"/>
                <w:szCs w:val="19"/>
                <w:lang w:val="el-GR"/>
              </w:rPr>
              <w:t xml:space="preserve"> των μεταναστριών και </w:t>
            </w:r>
            <w:proofErr w:type="spellStart"/>
            <w:r>
              <w:rPr>
                <w:sz w:val="19"/>
                <w:szCs w:val="19"/>
                <w:lang w:val="el-GR"/>
              </w:rPr>
              <w:t>προσφυγισσών</w:t>
            </w:r>
            <w:proofErr w:type="spellEnd"/>
            <w:r>
              <w:rPr>
                <w:sz w:val="19"/>
                <w:szCs w:val="19"/>
                <w:lang w:val="el-GR"/>
              </w:rPr>
              <w:t xml:space="preserve"> αφορά την πρόσβαση σε πόρους και προστασία, όχι μια εγγενή ψυχική «αδυναμία». Οι υπηρεσίες χρειάζεται να αντιμετωπίσουν τα υλικά, γλωσσικά και νομικά εμπόδια, με διαπολιτισμική διαμεσολάβηση και προστασία ανεξάρτητα από το καθεστώς διαμονής. Οι πλέον ευάλωτες (χωρίς τη γνώση της ελληνικής γλώσσας, χωρίς επαφή με δομές) παραμένουν εκτός δείγματος και χρειάζονται ειδικά σχεδιασμένη έρευνα</w:t>
            </w:r>
          </w:p>
        </w:tc>
      </w:tr>
      <w:tr w:rsidR="00E63D5B" w:rsidRPr="00D84B1E" w14:paraId="576DDD25" w14:textId="77777777">
        <w:trPr>
          <w:jc w:val="center"/>
        </w:trPr>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37645D48" w14:textId="77777777" w:rsidR="00E63D5B" w:rsidRPr="00132066" w:rsidRDefault="001F059D">
            <w:pPr>
              <w:spacing w:after="40" w:line="240" w:lineRule="auto"/>
              <w:jc w:val="left"/>
              <w:rPr>
                <w:lang w:val="el-GR"/>
              </w:rPr>
            </w:pPr>
            <w:r>
              <w:rPr>
                <w:sz w:val="19"/>
                <w:szCs w:val="19"/>
                <w:lang w:val="el-GR"/>
              </w:rPr>
              <w:t>(</w:t>
            </w:r>
            <w:proofErr w:type="spellStart"/>
            <w:r>
              <w:rPr>
                <w:sz w:val="19"/>
                <w:szCs w:val="19"/>
                <w:lang w:val="el-GR"/>
              </w:rPr>
              <w:t>στ</w:t>
            </w:r>
            <w:proofErr w:type="spellEnd"/>
            <w:r>
              <w:rPr>
                <w:sz w:val="19"/>
                <w:szCs w:val="19"/>
                <w:lang w:val="el-GR"/>
              </w:rPr>
              <w:t>) Εις βάθος κατανόηση της βιωμένης εμπειρίας μέσα από τις αφηγήσεις των γυναικών</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205B614F" w14:textId="77777777" w:rsidR="00E63D5B" w:rsidRPr="00132066" w:rsidRDefault="001F059D">
            <w:pPr>
              <w:spacing w:after="40" w:line="240" w:lineRule="auto"/>
              <w:jc w:val="left"/>
              <w:rPr>
                <w:lang w:val="el-GR"/>
              </w:rPr>
            </w:pPr>
            <w:r>
              <w:rPr>
                <w:sz w:val="19"/>
                <w:szCs w:val="19"/>
                <w:lang w:val="el-GR"/>
              </w:rPr>
              <w:t xml:space="preserve">Εννέα θέματα γύρω από τον άξονα της </w:t>
            </w:r>
            <w:proofErr w:type="spellStart"/>
            <w:r>
              <w:rPr>
                <w:sz w:val="19"/>
                <w:szCs w:val="19"/>
                <w:lang w:val="el-GR"/>
              </w:rPr>
              <w:t>διαγενεακής</w:t>
            </w:r>
            <w:proofErr w:type="spellEnd"/>
            <w:r>
              <w:rPr>
                <w:sz w:val="19"/>
                <w:szCs w:val="19"/>
                <w:lang w:val="el-GR"/>
              </w:rPr>
              <w:t xml:space="preserve"> συνέχειας, μετασχηματισμού και διακοπής: η βία ως καθεστώς ελέγχου, ο κοινωνικά και υλικά παραγόμενος εγκλωβισμός, το σώμα σε ετοιμότητα, το οικείο ως φυσιολογικό, τα παιδιά που βλέπουν και παίρνουν θέση, η μητρότητα ως επανόρθωση και </w:t>
            </w:r>
            <w:proofErr w:type="spellStart"/>
            <w:r>
              <w:rPr>
                <w:sz w:val="19"/>
                <w:szCs w:val="19"/>
                <w:lang w:val="el-GR"/>
              </w:rPr>
              <w:t>υπερευθύνη</w:t>
            </w:r>
            <w:proofErr w:type="spellEnd"/>
            <w:r>
              <w:rPr>
                <w:sz w:val="19"/>
                <w:szCs w:val="19"/>
                <w:lang w:val="el-GR"/>
              </w:rPr>
              <w:t xml:space="preserve">, η βία μετά τον χωρισμό και ο θεσμικός </w:t>
            </w:r>
            <w:proofErr w:type="spellStart"/>
            <w:r>
              <w:rPr>
                <w:sz w:val="19"/>
                <w:szCs w:val="19"/>
                <w:lang w:val="el-GR"/>
              </w:rPr>
              <w:t>επανατραυματισμός</w:t>
            </w:r>
            <w:proofErr w:type="spellEnd"/>
            <w:r>
              <w:rPr>
                <w:sz w:val="19"/>
                <w:szCs w:val="19"/>
                <w:lang w:val="el-GR"/>
              </w:rPr>
              <w:t>, η μη γραμμική ανάκτηση της ζωής, οι προτάσεις των ίδιων των γυναικών</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6CB0D87B" w14:textId="77777777" w:rsidR="00E63D5B" w:rsidRPr="00132066" w:rsidRDefault="001F059D">
            <w:pPr>
              <w:spacing w:after="40" w:line="240" w:lineRule="auto"/>
              <w:jc w:val="left"/>
              <w:rPr>
                <w:lang w:val="el-GR"/>
              </w:rPr>
            </w:pPr>
            <w:r>
              <w:rPr>
                <w:sz w:val="19"/>
                <w:szCs w:val="19"/>
                <w:lang w:val="el-GR"/>
              </w:rPr>
              <w:t xml:space="preserve">Οι γυναίκες δεν είναι παθητικές αποδέκτριες βίας ή υπηρεσιών. Οι αφηγήσεις τους εξηγούν τους μηχανισμούς πίσω από τους αριθμούς: γιατί η βία τραυματίζει, γιατί η αποχώρηση είναι δύσκολη και επικίνδυνη, πώς μεταδίδεται και πώς διακόπτεται η βία, και τι κάνει τη διαφορά ανάμεσα σε μια υπηρεσία που </w:t>
            </w:r>
            <w:proofErr w:type="spellStart"/>
            <w:r>
              <w:rPr>
                <w:sz w:val="19"/>
                <w:szCs w:val="19"/>
                <w:lang w:val="el-GR"/>
              </w:rPr>
              <w:t>επανατραυματίζει</w:t>
            </w:r>
            <w:proofErr w:type="spellEnd"/>
            <w:r>
              <w:rPr>
                <w:sz w:val="19"/>
                <w:szCs w:val="19"/>
                <w:lang w:val="el-GR"/>
              </w:rPr>
              <w:t xml:space="preserve"> και μια που επανορθώνει</w:t>
            </w:r>
          </w:p>
        </w:tc>
      </w:tr>
    </w:tbl>
    <w:p w14:paraId="2CC9B507" w14:textId="77777777" w:rsidR="00E63D5B" w:rsidRPr="00132066" w:rsidRDefault="00E63D5B">
      <w:pPr>
        <w:spacing w:after="80"/>
        <w:rPr>
          <w:lang w:val="el-GR"/>
        </w:rPr>
      </w:pPr>
    </w:p>
    <w:p w14:paraId="51328630" w14:textId="77777777" w:rsidR="00E63D5B" w:rsidRPr="00132066" w:rsidRDefault="001F059D">
      <w:pPr>
        <w:pStyle w:val="20"/>
        <w:rPr>
          <w:lang w:val="el-GR"/>
        </w:rPr>
      </w:pPr>
      <w:bookmarkStart w:id="73" w:name="_Toc242134478"/>
      <w:r>
        <w:rPr>
          <w:lang w:val="el-GR"/>
        </w:rPr>
        <w:lastRenderedPageBreak/>
        <w:t>9.3 Τα βασικά συμπεράσματα της έρευνας</w:t>
      </w:r>
      <w:bookmarkEnd w:id="73"/>
    </w:p>
    <w:p w14:paraId="1A52C591" w14:textId="77777777" w:rsidR="00E63D5B" w:rsidRPr="00781FF6" w:rsidRDefault="001F059D">
      <w:pPr>
        <w:rPr>
          <w:lang w:val="el-GR"/>
        </w:rPr>
      </w:pPr>
      <w:r>
        <w:rPr>
          <w:lang w:val="el-GR"/>
        </w:rPr>
        <w:t xml:space="preserve">1. Η ενδοοικογενειακή βία στην Ελλάδα, όπως τη βιώνουν οι γυναίκες που απευθύνονται στις δομές, είναι πρωτίστως ψυχολογική, λεκτική και συνεχής: ένα καθεστώς ελέγχου, όχι μια σειρά επεισοδίων. </w:t>
      </w:r>
      <w:r w:rsidRPr="009C3AC6">
        <w:rPr>
          <w:lang w:val="el-GR"/>
        </w:rPr>
        <w:t>Οι προσβολές, η υποτίμηση και οι φωνές ήταν οι συχνότερες εμπειρίες, με περίπου τέσσερις στις δέκα γυναίκες να τις βιώνουν «πολύ συχνά», ενώ το 68,4% ανέφερε απειλές βλάβης. Η αριθμητική υπεροχή των ψυχολογικών και λεκτικών μορφών δεν σημαίνει μικρότερη σοβαρότητα: αποτυπώνει ένα διάχυτο καθεστώς φόβου, απαξίωσης και ελέγχου, το οποίο δεν συλλαμβάνεται από ένα μοντέλο μεμονωμένων επεισοδίων σωματικής βίας</w:t>
      </w:r>
      <w:r w:rsidRPr="00781FF6">
        <w:rPr>
          <w:lang w:val="el-GR"/>
        </w:rPr>
        <w:t>.</w:t>
      </w:r>
    </w:p>
    <w:p w14:paraId="74721541" w14:textId="77777777" w:rsidR="00E63D5B" w:rsidRPr="00781FF6" w:rsidRDefault="001F059D">
      <w:pPr>
        <w:rPr>
          <w:lang w:val="el-GR"/>
        </w:rPr>
      </w:pPr>
      <w:r>
        <w:rPr>
          <w:lang w:val="el-GR"/>
        </w:rPr>
        <w:t xml:space="preserve">2. Το 62,7% των γυναικών εμφανίζει ένδειξη πιθανής ΔΜΤΣ και το 42,6% πιθανής κατάθλιψης. Η </w:t>
      </w:r>
      <w:proofErr w:type="spellStart"/>
      <w:r>
        <w:rPr>
          <w:lang w:val="el-GR"/>
        </w:rPr>
        <w:t>μετατραυματική</w:t>
      </w:r>
      <w:proofErr w:type="spellEnd"/>
      <w:r>
        <w:rPr>
          <w:lang w:val="el-GR"/>
        </w:rPr>
        <w:t xml:space="preserve"> επιβάρυνση αποτελεί τον κανόνα και όχι την εξαίρεση</w:t>
      </w:r>
      <w:r w:rsidRPr="00781FF6">
        <w:rPr>
          <w:lang w:val="el-GR"/>
        </w:rPr>
        <w:t xml:space="preserve">. </w:t>
      </w:r>
      <w:r w:rsidRPr="009C3AC6">
        <w:rPr>
          <w:lang w:val="el-GR"/>
        </w:rPr>
        <w:t xml:space="preserve">Οι αρνητικές σκέψεις και η αρνητική διάθεση, μαζί με την υπερδιέγερση, ήταν οι πιο επιβαρυντικές διαστάσεις, εικόνα που παραπέμπει στο σύνθετο τραύμα της χρόνιας διαπροσωπικής </w:t>
      </w:r>
      <w:proofErr w:type="spellStart"/>
      <w:r w:rsidRPr="009C3AC6">
        <w:rPr>
          <w:lang w:val="el-GR"/>
        </w:rPr>
        <w:t>θυματοποίησης</w:t>
      </w:r>
      <w:proofErr w:type="spellEnd"/>
      <w:r w:rsidRPr="009C3AC6">
        <w:rPr>
          <w:lang w:val="el-GR"/>
        </w:rPr>
        <w:t xml:space="preserve"> και όχι στη ΔΜΤΣ που ακολουθεί ένα μεμονωμένο γεγονός. Οι γυναίκες με πιθανή ΔΜΤΣ είχαν σχεδόν τριπλάσια καταθλιπτική συμπτωματολογία και σημαντικά χαμηλότερη ποιότητα ζωής σε όλους τους τομείς. Το τραύμα δεν είναι μία ακόμη διάγνωση που συνυπάρχει με άλλες, αλλά ο πυρήνας γύρω από τον οποίο οργανώνεται η ψυχική δυσφορία</w:t>
      </w:r>
      <w:r w:rsidRPr="00781FF6">
        <w:rPr>
          <w:lang w:val="el-GR"/>
        </w:rPr>
        <w:t>.</w:t>
      </w:r>
    </w:p>
    <w:p w14:paraId="57A646B0" w14:textId="77777777" w:rsidR="00E63D5B" w:rsidRPr="00781FF6" w:rsidRDefault="001F059D">
      <w:pPr>
        <w:rPr>
          <w:lang w:val="el-GR"/>
        </w:rPr>
      </w:pPr>
      <w:r>
        <w:rPr>
          <w:lang w:val="el-GR"/>
        </w:rPr>
        <w:t xml:space="preserve">3. Η βία επιδρά στην ψυχική υγεία μέσα από την αίσθηση απώλειας ελέγχου, δηλαδή μέσα από τον ίδιο τον μηχανισμό του εξαναγκαστικού ελέγχου. Οι γυναίκες δεν χάνουν την ικανότητά τους να δρουν. </w:t>
      </w:r>
      <w:r w:rsidRPr="009C3AC6">
        <w:rPr>
          <w:lang w:val="el-GR"/>
        </w:rPr>
        <w:t xml:space="preserve">Η βία συσχετίστηκε με την αντιλαμβανόμενη </w:t>
      </w:r>
      <w:proofErr w:type="spellStart"/>
      <w:r w:rsidRPr="009C3AC6">
        <w:rPr>
          <w:lang w:val="el-GR"/>
        </w:rPr>
        <w:t>αβοηθητότητα</w:t>
      </w:r>
      <w:proofErr w:type="spellEnd"/>
      <w:r w:rsidRPr="009C3AC6">
        <w:rPr>
          <w:lang w:val="el-GR"/>
        </w:rPr>
        <w:t xml:space="preserve"> και όχι με την έλλειψη </w:t>
      </w:r>
      <w:proofErr w:type="spellStart"/>
      <w:r w:rsidRPr="009C3AC6">
        <w:rPr>
          <w:lang w:val="el-GR"/>
        </w:rPr>
        <w:t>αυτοαποτελεσματικότητας</w:t>
      </w:r>
      <w:proofErr w:type="spellEnd"/>
      <w:r w:rsidRPr="009C3AC6">
        <w:rPr>
          <w:lang w:val="el-GR"/>
        </w:rPr>
        <w:t>, και το αντιλαμβανόμενο στρες διαμεσολάβησε πλήρως τη σχέση της με την κατάθλιψη. Η αίσθηση ότι τα γεγονότα είναι απρόβλεπτα και ανεξέλεγκτα είναι το ψυχολογικό αποτύπωμα ενός πραγματικού περιορισμού της δράσης από τον εξαναγκαστικό έλεγχο, την απομόνωση και την οικονομική εξάρτηση. Οι αφηγήσεις κατέγραψαν ταυτόχρονα καθημερινές στρατηγικές αυτοπροστασίας, αποκλιμάκωσης, απόκρυψης πόρων και αναζήτησης συμμαχιών</w:t>
      </w:r>
      <w:r w:rsidRPr="00781FF6">
        <w:rPr>
          <w:lang w:val="el-GR"/>
        </w:rPr>
        <w:t>.</w:t>
      </w:r>
    </w:p>
    <w:p w14:paraId="20F2B351" w14:textId="77777777" w:rsidR="00E63D5B" w:rsidRPr="00781FF6" w:rsidRDefault="001F059D">
      <w:pPr>
        <w:rPr>
          <w:lang w:val="el-GR"/>
        </w:rPr>
      </w:pPr>
      <w:r>
        <w:rPr>
          <w:lang w:val="el-GR"/>
        </w:rPr>
        <w:t xml:space="preserve">4. Η βία στην ενήλικη ζωή έχει κατά κανόνα προϊστορία: το 80% των γυναικών ανέφερε σωματική ή συναισθηματική κακοποίηση στην παιδική ηλικία, και το τραύμα που συνδέεται με τη μεταγενέστερη ΔΜΤΣ είναι εκείνο της διαπροσωπικής προδοσίας. </w:t>
      </w:r>
      <w:r w:rsidRPr="009C3AC6">
        <w:rPr>
          <w:lang w:val="el-GR"/>
        </w:rPr>
        <w:t xml:space="preserve">Οι διαπροσωπικές μορφές τραύματος (παραμέληση, απαξίωση, σωματική βία, σεξουαλικός εξαναγκασμός, μαρτυρία βίας προς αγαπημένα πρόσωπα) συνδέθηκαν με μεταγενέστερη ΔΜΤΣ, ενώ τα ατυχήματα, οι ασθένειες και οι απώλειες όχι. Η βλάβη από πρόσωπα από τα οποία αναμένεται προστασία διαβρώνει τα θεμέλια της εμπιστοσύνης και της ασφάλειας, και η βία στην ενήλικη ζωή φαίνεται συχνά να ενεργοποιεί ή να επαναλαμβάνει </w:t>
      </w:r>
      <w:proofErr w:type="spellStart"/>
      <w:r w:rsidRPr="009C3AC6">
        <w:rPr>
          <w:lang w:val="el-GR"/>
        </w:rPr>
        <w:t>προϋπάρχοντα</w:t>
      </w:r>
      <w:proofErr w:type="spellEnd"/>
      <w:r w:rsidRPr="009C3AC6">
        <w:rPr>
          <w:lang w:val="el-GR"/>
        </w:rPr>
        <w:t xml:space="preserve"> σχεσιακά μοτίβα. Οι αφηγήσεις έδειξαν ότι μεταδίδονται όχι μόνο εμπειρίες, αλλά και τα ερμηνευτικά σχήματα μέσα από τα οποία αυτές </w:t>
      </w:r>
      <w:proofErr w:type="spellStart"/>
      <w:r w:rsidRPr="009C3AC6">
        <w:rPr>
          <w:lang w:val="el-GR"/>
        </w:rPr>
        <w:t>νοηματοδοτούνται</w:t>
      </w:r>
      <w:proofErr w:type="spellEnd"/>
      <w:r w:rsidRPr="00781FF6">
        <w:rPr>
          <w:lang w:val="el-GR"/>
        </w:rPr>
        <w:t>.</w:t>
      </w:r>
    </w:p>
    <w:p w14:paraId="19D5FB0D" w14:textId="08BEB151" w:rsidR="00E63D5B" w:rsidRPr="00781FF6" w:rsidRDefault="001F059D">
      <w:pPr>
        <w:rPr>
          <w:lang w:val="el-GR"/>
        </w:rPr>
      </w:pPr>
      <w:r>
        <w:rPr>
          <w:lang w:val="el-GR"/>
        </w:rPr>
        <w:t xml:space="preserve">5. Τα παιδιά βρίσκονται εντός της βίας: το 79% έχει εκτεθεί σε τουλάχιστον μία μορφή </w:t>
      </w:r>
      <w:r w:rsidR="00781FF6">
        <w:rPr>
          <w:lang w:val="el-GR"/>
        </w:rPr>
        <w:t xml:space="preserve">βίας </w:t>
      </w:r>
      <w:r>
        <w:rPr>
          <w:lang w:val="el-GR"/>
        </w:rPr>
        <w:t xml:space="preserve">και το 51% </w:t>
      </w:r>
      <w:r w:rsidR="00781FF6">
        <w:rPr>
          <w:lang w:val="el-GR"/>
        </w:rPr>
        <w:t>ήταν</w:t>
      </w:r>
      <w:r>
        <w:rPr>
          <w:lang w:val="el-GR"/>
        </w:rPr>
        <w:t xml:space="preserve"> παρόν σε σωματική βία ή απειλή κατά της μητέρας. Η βία κατά της μητέρας και η έκθεση του παιδιού συνυπάρχουν συστηματικά. </w:t>
      </w:r>
      <w:r w:rsidRPr="009C3AC6">
        <w:rPr>
          <w:lang w:val="el-GR"/>
        </w:rPr>
        <w:t>Η έκθεση της μητέρας και του παιδιού συσχετίστηκαν μέτρια, και τα παιδιά μητέρων με πιθανή ΔΜΤΣ είχαν υψηλότερη έκθεση σε όλες σχεδόν τις διαστάσεις. Τα παιδιά χρησιμοποιούνταν συχνά ως μέσο ελέγχου από τον δράστη, γεγονός που επιβεβαιώνει ότι η συντροφική βία είναι οικογενειακό και όχι αποκλειστικά συζυγικό φαινόμενο. Τα παιδιά είναι ενεργά υποκείμενα: βλέπουν, ερμηνεύουν, παίρνουν θέση, προσπαθούν να προστατεύσουν και αντιστέκονται.</w:t>
      </w:r>
    </w:p>
    <w:p w14:paraId="410CE648" w14:textId="77777777" w:rsidR="00E63D5B" w:rsidRPr="00781FF6" w:rsidRDefault="001F059D">
      <w:pPr>
        <w:rPr>
          <w:lang w:val="el-GR"/>
        </w:rPr>
      </w:pPr>
      <w:r>
        <w:rPr>
          <w:lang w:val="el-GR"/>
        </w:rPr>
        <w:t xml:space="preserve">6. Η διαδρομή από τη βία στις δυσκολίες του παιδιού διέρχεται από την ψυχική υγεία της μητέρας. Η θεραπεία της μητέρας συνιστά προστασία του παιδιού. </w:t>
      </w:r>
      <w:r w:rsidRPr="009C3AC6">
        <w:rPr>
          <w:lang w:val="el-GR"/>
        </w:rPr>
        <w:t xml:space="preserve">Οι δυσκολίες των παιδιών συνδέθηκαν με το </w:t>
      </w:r>
      <w:r w:rsidRPr="009C3AC6">
        <w:rPr>
          <w:lang w:val="el-GR"/>
        </w:rPr>
        <w:lastRenderedPageBreak/>
        <w:t xml:space="preserve">στρες, το τραύμα και τη μειωμένη ποιότητα ζωής της μητέρας, αλλά όχι με τις επιμέρους μορφές βίας που εκείνη ανέφερε. Το μοτίβο συνάδει με τα μοντέλα διάχυσης, σύμφωνα με τα οποία το χρόνιο στρες και τα </w:t>
      </w:r>
      <w:proofErr w:type="spellStart"/>
      <w:r w:rsidRPr="009C3AC6">
        <w:rPr>
          <w:lang w:val="el-GR"/>
        </w:rPr>
        <w:t>μετατραυματικά</w:t>
      </w:r>
      <w:proofErr w:type="spellEnd"/>
      <w:r w:rsidRPr="009C3AC6">
        <w:rPr>
          <w:lang w:val="el-GR"/>
        </w:rPr>
        <w:t xml:space="preserve"> συμπτώματα του γονέα επηρεάζουν τη γονική λειτουργία και, μέσω αυτής, την προσαρμογή των παιδιών. Οι διαφορές που κατέγραψαν οι μητέρες δεν επιβεβαιώθηκαν από τις </w:t>
      </w:r>
      <w:proofErr w:type="spellStart"/>
      <w:r w:rsidRPr="009C3AC6">
        <w:rPr>
          <w:lang w:val="el-GR"/>
        </w:rPr>
        <w:t>αυτοαναφορές</w:t>
      </w:r>
      <w:proofErr w:type="spellEnd"/>
      <w:r w:rsidRPr="009C3AC6">
        <w:rPr>
          <w:lang w:val="el-GR"/>
        </w:rPr>
        <w:t xml:space="preserve"> των εφήβων, γι’ αυτό και τα ευρήματα ερμηνεύονται με προσοχή</w:t>
      </w:r>
      <w:r w:rsidRPr="00781FF6">
        <w:rPr>
          <w:lang w:val="el-GR"/>
        </w:rPr>
        <w:t>.</w:t>
      </w:r>
    </w:p>
    <w:p w14:paraId="26EB39B7" w14:textId="77777777" w:rsidR="00E63D5B" w:rsidRPr="00781FF6" w:rsidRDefault="001F059D">
      <w:pPr>
        <w:rPr>
          <w:lang w:val="el-GR"/>
        </w:rPr>
      </w:pPr>
      <w:r>
        <w:rPr>
          <w:lang w:val="el-GR"/>
        </w:rPr>
        <w:t xml:space="preserve">7. Οι μητέρες διατηρούν τη ζεστασιά τους παρά το τραύμα. Γίνονται πιο υπερπροστατευτικές και αγχώδεις. Η μητρότητα είναι ο ισχυρότερος μοχλός διακοπής της </w:t>
      </w:r>
      <w:proofErr w:type="spellStart"/>
      <w:r>
        <w:rPr>
          <w:lang w:val="el-GR"/>
        </w:rPr>
        <w:t>διαγενεακής</w:t>
      </w:r>
      <w:proofErr w:type="spellEnd"/>
      <w:r>
        <w:rPr>
          <w:lang w:val="el-GR"/>
        </w:rPr>
        <w:t xml:space="preserve"> μετάδοσης, αν οι μητέρες δεν αφεθούν μόνες. </w:t>
      </w:r>
      <w:r w:rsidRPr="009C3AC6">
        <w:rPr>
          <w:lang w:val="el-GR"/>
        </w:rPr>
        <w:t xml:space="preserve">Παρότι η έκθεση στη βία δεν συσχετίστηκε άμεσα με τις γονικές πρακτικές, οι μητέρες με πιθανή ΔΜΤΣ ήταν περισσότερο υπερπροστατευτικές και αγχώδεις, μοτίβο συμβατό με την υπόθεση ότι η επίδραση της βίας στη σχέση γονέα–παιδιού μεταφέρεται εν μέρει μέσω της </w:t>
      </w:r>
      <w:proofErr w:type="spellStart"/>
      <w:r w:rsidRPr="009C3AC6">
        <w:rPr>
          <w:lang w:val="el-GR"/>
        </w:rPr>
        <w:t>μετατραυματικής</w:t>
      </w:r>
      <w:proofErr w:type="spellEnd"/>
      <w:r w:rsidRPr="009C3AC6">
        <w:rPr>
          <w:lang w:val="el-GR"/>
        </w:rPr>
        <w:t xml:space="preserve"> δυσφορίας. Στις αφηγήσεις η μητρότητα λειτούργησε ως πεδίο επανόρθωσης και συνειδητής διακοπής της μετάδοσης, αλλά και ως πεδίο </w:t>
      </w:r>
      <w:proofErr w:type="spellStart"/>
      <w:r w:rsidRPr="009C3AC6">
        <w:rPr>
          <w:lang w:val="el-GR"/>
        </w:rPr>
        <w:t>υπερευθύνης</w:t>
      </w:r>
      <w:proofErr w:type="spellEnd"/>
      <w:r w:rsidRPr="009C3AC6">
        <w:rPr>
          <w:lang w:val="el-GR"/>
        </w:rPr>
        <w:t xml:space="preserve"> και φόβου. Η διατήρηση της συναισθηματικής ζεστασιάς, παρά την επιβάρυνση, είναι από τα πιο ελπιδοφόρα ευρήματα της έρευνας</w:t>
      </w:r>
      <w:r w:rsidRPr="00781FF6">
        <w:rPr>
          <w:lang w:val="el-GR"/>
        </w:rPr>
        <w:t>.</w:t>
      </w:r>
    </w:p>
    <w:p w14:paraId="2911E7FD" w14:textId="77777777" w:rsidR="00E63D5B" w:rsidRPr="00916766" w:rsidRDefault="001F059D">
      <w:pPr>
        <w:rPr>
          <w:lang w:val="el-GR"/>
        </w:rPr>
      </w:pPr>
      <w:r>
        <w:rPr>
          <w:lang w:val="el-GR"/>
        </w:rPr>
        <w:t xml:space="preserve">8. Η βία δεν τερματίζεται με τον χωρισμό. Το 63% των γυναικών έχει ήδη απομακρυνθεί από τη σχέση και ο συχνότερος δράστης είναι ο πρώην σύζυγος. Οι θεσμοί μπορούν να γίνουν πεδίο συνέχισης του ελέγχου ή πεδίο επανόρθωσης. </w:t>
      </w:r>
      <w:r w:rsidRPr="009C3AC6">
        <w:rPr>
          <w:lang w:val="el-GR"/>
        </w:rPr>
        <w:t>Το 59,2% των γυναικών κατονόμασε ως κύριο δράστη πρώην σύζυγο ή σύντροφο, ενώ οι αφηγήσεις για απειλές, καταδίωξη, χειραγώγηση μέσω των παιδιών και καταχρηστική χρήση των δικαστικών διαδικασιών δείχνουν ότι ο χωρισμός αναδιατάσσει και δεν καταργεί το καθεστώς ελέγχου. Οι αρνητικές θεσμικές εμπειρίες, με ενέργειες όπως η αμφισβήτηση και η ενοχοποίηση και με παραλείψεις όπως η μη καταγραφή και η ανεπαρκής διασύνδεση, συνιστούν θεσμική προδοσία. Οι θετικές εμπειρίες, με επαγγελματίες που πίστευαν τις γυναίκες, παρείχαν σαφή πληροφόρηση και σέβονταν τον χρόνο και τις αποφάσεις τους, λειτούργησαν ως διορθωτικές σχεσιακές εμπειρίες</w:t>
      </w:r>
      <w:r w:rsidRPr="00916766">
        <w:rPr>
          <w:lang w:val="el-GR"/>
        </w:rPr>
        <w:t>.</w:t>
      </w:r>
    </w:p>
    <w:p w14:paraId="2EFDABD4" w14:textId="77777777" w:rsidR="00E63D5B" w:rsidRPr="00916766" w:rsidRDefault="001F059D">
      <w:pPr>
        <w:rPr>
          <w:lang w:val="el-GR"/>
        </w:rPr>
      </w:pPr>
      <w:r>
        <w:rPr>
          <w:lang w:val="el-GR"/>
        </w:rPr>
        <w:t xml:space="preserve">9. Η </w:t>
      </w:r>
      <w:proofErr w:type="spellStart"/>
      <w:r>
        <w:rPr>
          <w:lang w:val="el-GR"/>
        </w:rPr>
        <w:t>μετατραυματική</w:t>
      </w:r>
      <w:proofErr w:type="spellEnd"/>
      <w:r>
        <w:rPr>
          <w:lang w:val="el-GR"/>
        </w:rPr>
        <w:t xml:space="preserve"> ανάπτυξη είναι δυνατή, αλλά μόνο μετά την ασφάλεια και τη μείωση της δυσφορίας. Συνυπάρχει με το τραύμα και δεν το ακυρώνει. </w:t>
      </w:r>
      <w:r w:rsidRPr="009C3AC6">
        <w:rPr>
          <w:lang w:val="el-GR"/>
        </w:rPr>
        <w:t>Η έρευνα ανέδειξε ισχυρές διεργασίες ανθεκτικότητας: αποκατάσταση της αυτονομίας, ανάκτηση της ταυτότητας, αναδόμηση της αυτοεκτίμησης, επένδυση σε νέες προοπτικές και επαναδιαπραγμάτευση του νοήματος. Η ανάπτυξη δεν προκύπτει από την αντιξοότητα καθαυτή, αλλά από την επεξεργασία της, και εμφανίζεται χρονικά μετά την απομάκρυνση από τον δράστη και τη σταθεροποίηση της καθημερινότητας. Οι αφηγήσεις ανέδειξαν και τη σχεσιακή της διάσταση, με τα παιδιά ως καταλύτη αλλαγής, πηγή νοήματος και κινητήρια δύναμη</w:t>
      </w:r>
      <w:r w:rsidRPr="00916766">
        <w:rPr>
          <w:lang w:val="el-GR"/>
        </w:rPr>
        <w:t>.</w:t>
      </w:r>
    </w:p>
    <w:p w14:paraId="54B5B277" w14:textId="77777777" w:rsidR="00E63D5B" w:rsidRPr="00916766" w:rsidRDefault="001F059D">
      <w:pPr>
        <w:rPr>
          <w:lang w:val="el-GR"/>
        </w:rPr>
      </w:pPr>
      <w:r>
        <w:rPr>
          <w:lang w:val="el-GR"/>
        </w:rPr>
        <w:t xml:space="preserve">10. Η </w:t>
      </w:r>
      <w:proofErr w:type="spellStart"/>
      <w:r>
        <w:rPr>
          <w:lang w:val="el-GR"/>
        </w:rPr>
        <w:t>ευαλωτότητα</w:t>
      </w:r>
      <w:proofErr w:type="spellEnd"/>
      <w:r>
        <w:rPr>
          <w:lang w:val="el-GR"/>
        </w:rPr>
        <w:t xml:space="preserve"> των μεταναστριών αφορά την πρόσβαση σε υπηρεσίες στήριξης, νομική προστασία και οικονομικούς πόρους, όχι την ψυχική αντοχή. Η προστασία πρέπει να είναι υλική, γλωσσική και νομική, όχι μόνο ψυχολογική. </w:t>
      </w:r>
      <w:r w:rsidRPr="009C3AC6">
        <w:rPr>
          <w:lang w:val="el-GR"/>
        </w:rPr>
        <w:t xml:space="preserve">Οι μετανάστριες βρίσκονταν σε χειρότερη οικονομική θέση, χωρίς όμως χειρότερο ψυχολογικό προφίλ, ενώ οι αφηγήσεις ανέδειξαν γλωσσικούς, νομικούς και κοινωνικούς φραγμούς στην αναζήτηση βοήθειας. Η απουσία ή η μερική αποδέσμευση των δικαιωμάτων διαμονής από τον σύζυγο, η ανάγκη διαπολιτισμικής διερμηνείας και η απομάκρυνση από τα δίκτυα υποστήριξης της χώρας καταγωγής διαμορφώνουν μια </w:t>
      </w:r>
      <w:proofErr w:type="spellStart"/>
      <w:r w:rsidRPr="009C3AC6">
        <w:rPr>
          <w:lang w:val="el-GR"/>
        </w:rPr>
        <w:t>ευαλωτότητα</w:t>
      </w:r>
      <w:proofErr w:type="spellEnd"/>
      <w:r w:rsidRPr="009C3AC6">
        <w:rPr>
          <w:lang w:val="el-GR"/>
        </w:rPr>
        <w:t xml:space="preserve"> που μπορεί να αντιμετωπιστεί μόνο με υλική, γλωσσική και νομική προστασία</w:t>
      </w:r>
      <w:r w:rsidRPr="00916766">
        <w:rPr>
          <w:lang w:val="el-GR"/>
        </w:rPr>
        <w:t>.</w:t>
      </w:r>
    </w:p>
    <w:p w14:paraId="598C5FE3" w14:textId="77777777" w:rsidR="00E63D5B" w:rsidRPr="00132066" w:rsidRDefault="001F059D">
      <w:pPr>
        <w:pStyle w:val="1"/>
        <w:pageBreakBefore/>
        <w:rPr>
          <w:lang w:val="el-GR"/>
        </w:rPr>
      </w:pPr>
      <w:bookmarkStart w:id="74" w:name="_Toc242134479"/>
      <w:r>
        <w:rPr>
          <w:lang w:val="el-GR"/>
        </w:rPr>
        <w:lastRenderedPageBreak/>
        <w:t>10. Προτάσεις Παρέμβασης ανά Ομάδα-Στόχο</w:t>
      </w:r>
      <w:bookmarkEnd w:id="74"/>
    </w:p>
    <w:p w14:paraId="79476D70" w14:textId="27B1B814" w:rsidR="00E63D5B" w:rsidRPr="00132066" w:rsidRDefault="001F059D">
      <w:pPr>
        <w:rPr>
          <w:lang w:val="el-GR"/>
        </w:rPr>
      </w:pPr>
      <w:r>
        <w:rPr>
          <w:lang w:val="el-GR"/>
        </w:rPr>
        <w:t>Οι προτάσεις που ακολουθούν προκύπτουν από τη σύνθεση των ευρημάτων της έρευνας με τις καλές πρακτικές του Κεφαλαίου 4. Κοινός άξονας είναι ότι η παύση της άμεσης βίας αποτελεί αναγκαία αλλά όχι επαρκή συνθήκη (</w:t>
      </w:r>
      <w:r>
        <w:t>Isobel</w:t>
      </w:r>
      <w:r>
        <w:rPr>
          <w:lang w:val="el-GR"/>
        </w:rPr>
        <w:t xml:space="preserve"> </w:t>
      </w:r>
      <w:r>
        <w:t>et</w:t>
      </w:r>
      <w:r>
        <w:rPr>
          <w:lang w:val="el-GR"/>
        </w:rPr>
        <w:t xml:space="preserve"> </w:t>
      </w:r>
      <w:r>
        <w:t>al</w:t>
      </w:r>
      <w:r>
        <w:rPr>
          <w:lang w:val="el-GR"/>
        </w:rPr>
        <w:t>., 2019·</w:t>
      </w:r>
      <w:r>
        <w:t>Van</w:t>
      </w:r>
      <w:r>
        <w:rPr>
          <w:lang w:val="el-GR"/>
        </w:rPr>
        <w:t xml:space="preserve"> </w:t>
      </w:r>
      <w:r>
        <w:t>Ee</w:t>
      </w:r>
      <w:r>
        <w:rPr>
          <w:lang w:val="el-GR"/>
        </w:rPr>
        <w:t xml:space="preserve"> </w:t>
      </w:r>
      <w:r>
        <w:t>et</w:t>
      </w:r>
      <w:r>
        <w:rPr>
          <w:lang w:val="el-GR"/>
        </w:rPr>
        <w:t xml:space="preserve"> </w:t>
      </w:r>
      <w:r>
        <w:t>al</w:t>
      </w:r>
      <w:r>
        <w:rPr>
          <w:lang w:val="el-GR"/>
        </w:rPr>
        <w:t xml:space="preserve">., 2016): απαιτείται παράλληλη αντιμετώπιση των τραυματικών, σχεσιακών, </w:t>
      </w:r>
      <w:proofErr w:type="spellStart"/>
      <w:r>
        <w:rPr>
          <w:lang w:val="el-GR"/>
        </w:rPr>
        <w:t>γονεϊκών</w:t>
      </w:r>
      <w:proofErr w:type="spellEnd"/>
      <w:r>
        <w:rPr>
          <w:lang w:val="el-GR"/>
        </w:rPr>
        <w:t>, κοινωνικών και οικονομικών συνεπειών της. Οι προτάσεις οργανώνονται ανά ομάδα στην οποία απευθύνονται.</w:t>
      </w:r>
    </w:p>
    <w:p w14:paraId="443E6A0F" w14:textId="77777777" w:rsidR="00E63D5B" w:rsidRPr="00132066" w:rsidRDefault="001F059D">
      <w:pPr>
        <w:pStyle w:val="20"/>
        <w:rPr>
          <w:lang w:val="el-GR"/>
        </w:rPr>
      </w:pPr>
      <w:bookmarkStart w:id="75" w:name="_Toc242134480"/>
      <w:r>
        <w:rPr>
          <w:lang w:val="el-GR"/>
        </w:rPr>
        <w:t>10.1 Για τις επιζώσες γυναίκες</w:t>
      </w:r>
      <w:bookmarkEnd w:id="75"/>
    </w:p>
    <w:p w14:paraId="29778B68" w14:textId="67EFAA0F" w:rsidR="00E63D5B" w:rsidRPr="00132066" w:rsidRDefault="001F059D">
      <w:pPr>
        <w:rPr>
          <w:lang w:val="el-GR"/>
        </w:rPr>
      </w:pPr>
      <w:r>
        <w:rPr>
          <w:b/>
          <w:bCs/>
          <w:lang w:val="el-GR"/>
        </w:rPr>
        <w:t>Ασφάλεια και προστασία, και μετά τον χωρισμό.</w:t>
      </w:r>
      <w:r>
        <w:rPr>
          <w:lang w:val="el-GR"/>
        </w:rPr>
        <w:t xml:space="preserve"> Προτείνεται κοινό πρωτόκολλο εκτίμησης και διαχείρισης κινδύνου σε αστυνομία, υπηρεσίες υγείας, Συμβουλευτικά Κέντρα, ξενώνες, κοινωνικές υπηρεσίες και παιδική προστασία, το οποίο να καλύπτει όχι μόνο την πρόσφατη σωματική επίθεση αλλά τις απειλές θανάτου, τον στραγγαλισμό, την πρόσβαση σε όπλα, την κλιμάκωση, την παρακολούθηση, την ψηφιακή κακοποίηση, τον εξαναγκαστικό έλεγχο και τη χρήση των παιδιών ως μέσου ελέγχου (</w:t>
      </w:r>
      <w:r>
        <w:t>Campbell</w:t>
      </w:r>
      <w:r>
        <w:rPr>
          <w:lang w:val="el-GR"/>
        </w:rPr>
        <w:t xml:space="preserve"> </w:t>
      </w:r>
      <w:r>
        <w:t>et</w:t>
      </w:r>
      <w:r>
        <w:rPr>
          <w:lang w:val="el-GR"/>
        </w:rPr>
        <w:t xml:space="preserve"> </w:t>
      </w:r>
      <w:r>
        <w:t>al</w:t>
      </w:r>
      <w:r>
        <w:rPr>
          <w:lang w:val="el-GR"/>
        </w:rPr>
        <w:t>., 2003·</w:t>
      </w:r>
      <w:r>
        <w:t>Herman</w:t>
      </w:r>
      <w:r>
        <w:rPr>
          <w:lang w:val="el-GR"/>
        </w:rPr>
        <w:t>, 1992·</w:t>
      </w:r>
      <w:r>
        <w:t>Stark</w:t>
      </w:r>
      <w:r>
        <w:rPr>
          <w:lang w:val="el-GR"/>
        </w:rPr>
        <w:t xml:space="preserve">, 2007). Για κάθε γυναίκα, εξατομικευμένο και </w:t>
      </w:r>
      <w:proofErr w:type="spellStart"/>
      <w:r>
        <w:rPr>
          <w:lang w:val="el-GR"/>
        </w:rPr>
        <w:t>επικαιροποιούμενο</w:t>
      </w:r>
      <w:proofErr w:type="spellEnd"/>
      <w:r>
        <w:rPr>
          <w:lang w:val="el-GR"/>
        </w:rPr>
        <w:t xml:space="preserve"> σχέδιο ασφάλειας. Οι ξενώνες και οι λύσεις μεταβατικής στέγασης να είναι διαθέσιμοι χωρίς αποκλεισμό των παιδιών λόγω φύλου ή εφηβικής ηλικίας και, όπου είναι εφικτό, με πρόβλεψη για κατοικίδια, καθώς οι αποκλεισμοί αυτοί βιώνονται από τις γυναίκες ως έμμεση </w:t>
      </w:r>
      <w:proofErr w:type="spellStart"/>
      <w:r>
        <w:rPr>
          <w:lang w:val="el-GR"/>
        </w:rPr>
        <w:t>επανακακοποίηση</w:t>
      </w:r>
      <w:proofErr w:type="spellEnd"/>
      <w:r>
        <w:rPr>
          <w:lang w:val="el-GR"/>
        </w:rPr>
        <w:t xml:space="preserve"> (</w:t>
      </w:r>
      <w:r>
        <w:t>GREVIO</w:t>
      </w:r>
      <w:r>
        <w:rPr>
          <w:lang w:val="el-GR"/>
        </w:rPr>
        <w:t xml:space="preserve">, 2023· </w:t>
      </w:r>
      <w:r>
        <w:t>Spearman</w:t>
      </w:r>
      <w:r>
        <w:rPr>
          <w:lang w:val="el-GR"/>
        </w:rPr>
        <w:t xml:space="preserve"> </w:t>
      </w:r>
      <w:r>
        <w:t>et</w:t>
      </w:r>
      <w:r>
        <w:rPr>
          <w:lang w:val="el-GR"/>
        </w:rPr>
        <w:t xml:space="preserve"> </w:t>
      </w:r>
      <w:r>
        <w:t>al</w:t>
      </w:r>
      <w:r>
        <w:rPr>
          <w:lang w:val="el-GR"/>
        </w:rPr>
        <w:t>., 2024). Η πρόταση στηρίζεται στο ότι το 59% των δραστών ήταν πρώην σύζυγοι ή σύντροφοι, ότι έξι στις δέκα γυναίκες βρίσκονταν ήδη σε διάσταση ή είχαν διαζευχθεί, και στις αφηγήσεις του Θέματος 7 για τη συνέχιση της βίας μετά τον χωρισμό.</w:t>
      </w:r>
    </w:p>
    <w:p w14:paraId="6A2BD2F8" w14:textId="77777777" w:rsidR="00E63D5B" w:rsidRPr="00132066" w:rsidRDefault="001F059D">
      <w:pPr>
        <w:rPr>
          <w:lang w:val="el-GR"/>
        </w:rPr>
      </w:pPr>
      <w:r>
        <w:rPr>
          <w:b/>
          <w:bCs/>
          <w:lang w:val="el-GR"/>
        </w:rPr>
        <w:t>Φροντίδα ενήμερη ως προς το τραύμα σε όλες τις υπηρεσίες.</w:t>
      </w:r>
      <w:r>
        <w:rPr>
          <w:lang w:val="el-GR"/>
        </w:rPr>
        <w:t xml:space="preserve"> Κοινές οργανωτικές προδιαγραφές (</w:t>
      </w:r>
      <w:r>
        <w:t>SAMHSA</w:t>
      </w:r>
      <w:r>
        <w:rPr>
          <w:lang w:val="el-GR"/>
        </w:rPr>
        <w:t>, 2014·</w:t>
      </w:r>
      <w:r>
        <w:t>Ross</w:t>
      </w:r>
      <w:r>
        <w:rPr>
          <w:lang w:val="el-GR"/>
        </w:rPr>
        <w:t xml:space="preserve"> </w:t>
      </w:r>
      <w:r>
        <w:t>et</w:t>
      </w:r>
      <w:r>
        <w:rPr>
          <w:lang w:val="el-GR"/>
        </w:rPr>
        <w:t xml:space="preserve"> </w:t>
      </w:r>
      <w:r>
        <w:t>al</w:t>
      </w:r>
      <w:r>
        <w:rPr>
          <w:lang w:val="el-GR"/>
        </w:rPr>
        <w:t xml:space="preserve">., 2026): </w:t>
      </w:r>
      <w:proofErr w:type="spellStart"/>
      <w:r>
        <w:rPr>
          <w:lang w:val="el-GR"/>
        </w:rPr>
        <w:t>ιδιωτικότητα</w:t>
      </w:r>
      <w:proofErr w:type="spellEnd"/>
      <w:r>
        <w:rPr>
          <w:lang w:val="el-GR"/>
        </w:rPr>
        <w:t xml:space="preserve">, σαφής ενημέρωση πριν από κάθε διαδικασία, συναίνεση, δυνατότητα επιλογής επαγγελματία και ρυθμού, περιορισμός της επαναλαμβανόμενης αφήγησης της κακοποίησης και ενεργητική συμμετοχή των γυναικών στις αποφάσεις. Η πρόταση απορρέει από το ποσοστό πιθανής ΔΜΤΣ (62,7%) και από όσα περιγράφουν οι γυναίκες στα Θέματα 3 και 7 για το τραύμα και τον θεσμικό </w:t>
      </w:r>
      <w:proofErr w:type="spellStart"/>
      <w:r>
        <w:rPr>
          <w:lang w:val="el-GR"/>
        </w:rPr>
        <w:t>επανατραυματισμό</w:t>
      </w:r>
      <w:proofErr w:type="spellEnd"/>
      <w:r>
        <w:rPr>
          <w:lang w:val="el-GR"/>
        </w:rPr>
        <w:t>.</w:t>
      </w:r>
    </w:p>
    <w:p w14:paraId="2E496B28" w14:textId="77777777" w:rsidR="00E63D5B" w:rsidRPr="00132066" w:rsidRDefault="001F059D">
      <w:pPr>
        <w:rPr>
          <w:lang w:val="el-GR"/>
        </w:rPr>
      </w:pPr>
      <w:r>
        <w:rPr>
          <w:b/>
          <w:bCs/>
          <w:lang w:val="el-GR"/>
        </w:rPr>
        <w:t>Θεραπευτικό συνεχές χωρίς οριζόντιο όριο συνεδριών.</w:t>
      </w:r>
      <w:r>
        <w:rPr>
          <w:lang w:val="el-GR"/>
        </w:rPr>
        <w:t xml:space="preserve"> Κλιμακωτό μοντέλο φροντίδας (</w:t>
      </w:r>
      <w:r>
        <w:t>stepped</w:t>
      </w:r>
      <w:r>
        <w:rPr>
          <w:lang w:val="el-GR"/>
        </w:rPr>
        <w:t xml:space="preserve"> </w:t>
      </w:r>
      <w:r>
        <w:t>care</w:t>
      </w:r>
      <w:r>
        <w:rPr>
          <w:lang w:val="el-GR"/>
        </w:rPr>
        <w:t xml:space="preserve">· </w:t>
      </w:r>
      <w:r>
        <w:t>Courtois</w:t>
      </w:r>
      <w:r>
        <w:rPr>
          <w:lang w:val="el-GR"/>
        </w:rPr>
        <w:t>, 2004·</w:t>
      </w:r>
      <w:r>
        <w:t>Herman</w:t>
      </w:r>
      <w:r>
        <w:rPr>
          <w:lang w:val="el-GR"/>
        </w:rPr>
        <w:t xml:space="preserve">, 1992) σε δημόσια νοσοκομεία, Κέντρα Ψυχικής Υγείας και Συμβουλευτικά Κέντρα: πρώτο επίπεδο σταθεροποίησης, </w:t>
      </w:r>
      <w:proofErr w:type="spellStart"/>
      <w:r>
        <w:rPr>
          <w:lang w:val="el-GR"/>
        </w:rPr>
        <w:t>ψυχοεκπαίδευσης</w:t>
      </w:r>
      <w:proofErr w:type="spellEnd"/>
      <w:r>
        <w:rPr>
          <w:lang w:val="el-GR"/>
        </w:rPr>
        <w:t>, συναισθηματικής ρύθμισης και πρακτικής υποστήριξης, εντατικότερη επεξεργασία των τραυματικών αναμνήσεων μόνο όταν έχει αποκατασταθεί επαρκής ασφάλεια. Εξατομικευμένη επιλογή θεραπείας (εστιασμένες στο τραύμα γνωσιακές-</w:t>
      </w:r>
      <w:proofErr w:type="spellStart"/>
      <w:r>
        <w:rPr>
          <w:lang w:val="el-GR"/>
        </w:rPr>
        <w:t>συμπεριφορικές</w:t>
      </w:r>
      <w:proofErr w:type="spellEnd"/>
      <w:r>
        <w:rPr>
          <w:lang w:val="el-GR"/>
        </w:rPr>
        <w:t xml:space="preserve"> παρεμβάσεις, </w:t>
      </w:r>
      <w:r>
        <w:t>EMDR</w:t>
      </w:r>
      <w:r>
        <w:rPr>
          <w:lang w:val="el-GR"/>
        </w:rPr>
        <w:t>, σχεσιακές προσεγγίσεις·</w:t>
      </w:r>
      <w:r>
        <w:t>Courtois</w:t>
      </w:r>
      <w:r>
        <w:rPr>
          <w:lang w:val="el-GR"/>
        </w:rPr>
        <w:t xml:space="preserve">, 2004· </w:t>
      </w:r>
      <w:r>
        <w:t>Shapiro</w:t>
      </w:r>
      <w:r>
        <w:rPr>
          <w:lang w:val="el-GR"/>
        </w:rPr>
        <w:t xml:space="preserve">, 2001) και διάρκεια που επανεκτιμάται με βάση τη συμπτωματολογία και τη λειτουργικότητα, όχι με προκαθορισμένο αριθμό συνεδριών. Η πρόταση προκύπτει από το εύρημα ότι η </w:t>
      </w:r>
      <w:proofErr w:type="spellStart"/>
      <w:r>
        <w:rPr>
          <w:lang w:val="el-GR"/>
        </w:rPr>
        <w:t>μετατραυματική</w:t>
      </w:r>
      <w:proofErr w:type="spellEnd"/>
      <w:r>
        <w:rPr>
          <w:lang w:val="el-GR"/>
        </w:rPr>
        <w:t xml:space="preserve"> ανάπτυξη προϋποθέτει μείωση της δυσφορίας, καθώς και από το αίτημα των γυναικών για συνέχεια της θεραπευτικής σχέσης.</w:t>
      </w:r>
    </w:p>
    <w:p w14:paraId="51A0A90F" w14:textId="77777777" w:rsidR="00E63D5B" w:rsidRPr="00132066" w:rsidRDefault="001F059D">
      <w:pPr>
        <w:rPr>
          <w:lang w:val="el-GR"/>
        </w:rPr>
      </w:pPr>
      <w:r>
        <w:rPr>
          <w:b/>
          <w:bCs/>
          <w:lang w:val="el-GR"/>
        </w:rPr>
        <w:t>Κοινωνική και οικονομική αποκατάσταση.</w:t>
      </w:r>
      <w:r>
        <w:rPr>
          <w:lang w:val="el-GR"/>
        </w:rPr>
        <w:t xml:space="preserve"> Κάθε σχέδιο παρέμβασης να συνδέεται με πακέτο υλικής αποκατάστασης (</w:t>
      </w:r>
      <w:r>
        <w:t>Spotlight</w:t>
      </w:r>
      <w:r>
        <w:rPr>
          <w:lang w:val="el-GR"/>
        </w:rPr>
        <w:t xml:space="preserve"> </w:t>
      </w:r>
      <w:r>
        <w:t>Initiative</w:t>
      </w:r>
      <w:r>
        <w:rPr>
          <w:lang w:val="el-GR"/>
        </w:rPr>
        <w:t>, 2021·</w:t>
      </w:r>
      <w:r>
        <w:t>World</w:t>
      </w:r>
      <w:r w:rsidRPr="000B7AA5">
        <w:rPr>
          <w:lang w:val="el-GR"/>
        </w:rPr>
        <w:t xml:space="preserve"> </w:t>
      </w:r>
      <w:r>
        <w:t>Bank</w:t>
      </w:r>
      <w:r w:rsidRPr="000B7AA5">
        <w:rPr>
          <w:lang w:val="el-GR"/>
        </w:rPr>
        <w:t xml:space="preserve"> &amp; </w:t>
      </w:r>
      <w:r>
        <w:t>Innovations</w:t>
      </w:r>
      <w:r w:rsidRPr="000B7AA5">
        <w:rPr>
          <w:lang w:val="el-GR"/>
        </w:rPr>
        <w:t xml:space="preserve"> </w:t>
      </w:r>
      <w:r>
        <w:t>for</w:t>
      </w:r>
      <w:r w:rsidRPr="000B7AA5">
        <w:rPr>
          <w:lang w:val="el-GR"/>
        </w:rPr>
        <w:t xml:space="preserve"> </w:t>
      </w:r>
      <w:r>
        <w:t>Poverty</w:t>
      </w:r>
      <w:r w:rsidRPr="000B7AA5">
        <w:rPr>
          <w:lang w:val="el-GR"/>
        </w:rPr>
        <w:t xml:space="preserve"> </w:t>
      </w:r>
      <w:r>
        <w:t>Action</w:t>
      </w:r>
      <w:r>
        <w:rPr>
          <w:lang w:val="el-GR"/>
        </w:rPr>
        <w:t>, 2024): ασφαλή και μεταβατική στέγαση, τακτική οικονομική ενίσχυση όπου απαιτείται, δωρεάν νομική εκπροσώπηση από εξειδικευμένους/ες δικηγόρους, επαγγελματική κατάρτιση και διασύνδεση με εργασία, δωρεάν φροντίδα παιδιών, ομάδες αλληλοϋποστήριξης, καθώς και σταθερό πρόσωπο αναφοράς (διαχείριση περίπτωσης/</w:t>
      </w:r>
      <w:r>
        <w:t>case</w:t>
      </w:r>
      <w:r>
        <w:rPr>
          <w:lang w:val="el-GR"/>
        </w:rPr>
        <w:t xml:space="preserve"> </w:t>
      </w:r>
      <w:r>
        <w:t>management</w:t>
      </w:r>
      <w:r>
        <w:rPr>
          <w:lang w:val="el-GR"/>
        </w:rPr>
        <w:t xml:space="preserve">), δηλαδή έναν/μία επαγγελματία που παρακολουθεί τη συνολική πορεία κάθε γυναίκας και συντονίζει τις παραπομπές μεταξύ των </w:t>
      </w:r>
      <w:r>
        <w:rPr>
          <w:lang w:val="el-GR"/>
        </w:rPr>
        <w:lastRenderedPageBreak/>
        <w:t>υπηρεσιών, ώστε να μην «χάνεται» ανάμεσα σε αποσπασματικές δομές (</w:t>
      </w:r>
      <w:r>
        <w:t>Goodman</w:t>
      </w:r>
      <w:r>
        <w:rPr>
          <w:lang w:val="el-GR"/>
        </w:rPr>
        <w:t xml:space="preserve"> &amp; </w:t>
      </w:r>
      <w:r>
        <w:t>Epstein</w:t>
      </w:r>
      <w:r>
        <w:rPr>
          <w:lang w:val="el-GR"/>
        </w:rPr>
        <w:t>, 2008·</w:t>
      </w:r>
      <w:r>
        <w:t>Sullivan</w:t>
      </w:r>
      <w:r>
        <w:rPr>
          <w:lang w:val="el-GR"/>
        </w:rPr>
        <w:t>, 2018). Ιδιαίτερη μέριμνα για τις ηλικιωμένες γυναίκες μετά τη λήξη της διατροφής με το διαζύγιο. Η πρόταση θεμελιώνεται στο Θέμα 2 (ο κοινωνικά και υλικά παραγόμενος εγκλωβισμός) και στη χαμηλότερη ποιότητα ζωής ως προς το περιβάλλον που καταγράφηκε στις γυναίκες με μεγαλύτερη έκθεση στη βία.</w:t>
      </w:r>
    </w:p>
    <w:p w14:paraId="1B8281E3" w14:textId="77777777" w:rsidR="00E63D5B" w:rsidRPr="00132066" w:rsidRDefault="001F059D">
      <w:pPr>
        <w:pStyle w:val="20"/>
        <w:rPr>
          <w:lang w:val="el-GR"/>
        </w:rPr>
      </w:pPr>
      <w:bookmarkStart w:id="76" w:name="_Toc242134481"/>
      <w:r>
        <w:rPr>
          <w:lang w:val="el-GR"/>
        </w:rPr>
        <w:t>10.2 Για τα παιδιά και τη σχέση μητέρας–παιδιού</w:t>
      </w:r>
      <w:bookmarkEnd w:id="76"/>
    </w:p>
    <w:p w14:paraId="78BDA858" w14:textId="77777777" w:rsidR="00E63D5B" w:rsidRPr="00132066" w:rsidRDefault="001F059D">
      <w:pPr>
        <w:rPr>
          <w:lang w:val="el-GR"/>
        </w:rPr>
      </w:pPr>
      <w:r>
        <w:rPr>
          <w:b/>
          <w:bCs/>
          <w:lang w:val="el-GR"/>
        </w:rPr>
        <w:t>Ανεξάρτητη αξιολόγηση και υποστήριξη κάθε παιδιού που έχει εκτεθεί.</w:t>
      </w:r>
      <w:r>
        <w:rPr>
          <w:lang w:val="el-GR"/>
        </w:rPr>
        <w:t xml:space="preserve"> Κάθε παιδί που έχει εκτεθεί σε ενδοοικογενειακή βία να λαμβάνει αναπτυξιακά κατάλληλη αξιολόγηση, ακόμη και χωρίς άμεση σωματική κακοποίηση: τραυματικά συμπτώματα, </w:t>
      </w:r>
      <w:proofErr w:type="spellStart"/>
      <w:r>
        <w:rPr>
          <w:lang w:val="el-GR"/>
        </w:rPr>
        <w:t>εσωτερικευμένες</w:t>
      </w:r>
      <w:proofErr w:type="spellEnd"/>
      <w:r>
        <w:rPr>
          <w:lang w:val="el-GR"/>
        </w:rPr>
        <w:t xml:space="preserve"> και εξωτερικευμένες δυσκολίες, ύπνος, σχολική λειτουργία, </w:t>
      </w:r>
      <w:proofErr w:type="spellStart"/>
      <w:r>
        <w:rPr>
          <w:lang w:val="el-GR"/>
        </w:rPr>
        <w:t>αυτοενοχοποίηση</w:t>
      </w:r>
      <w:proofErr w:type="spellEnd"/>
      <w:r>
        <w:rPr>
          <w:lang w:val="el-GR"/>
        </w:rPr>
        <w:t>, σχέση με κάθε γονέα, πιθανή χρήση του παιδιού ως μέσου ελέγχου. Η υποστήριξη του παιδιού να μην εξαρτάται αποκλειστικά από τη θεραπεία της μητέρας (</w:t>
      </w:r>
      <w:r>
        <w:t>Howarth</w:t>
      </w:r>
      <w:r>
        <w:rPr>
          <w:lang w:val="el-GR"/>
        </w:rPr>
        <w:t xml:space="preserve"> </w:t>
      </w:r>
      <w:r>
        <w:t>et</w:t>
      </w:r>
      <w:r>
        <w:rPr>
          <w:lang w:val="el-GR"/>
        </w:rPr>
        <w:t xml:space="preserve"> </w:t>
      </w:r>
      <w:r>
        <w:t>al</w:t>
      </w:r>
      <w:r>
        <w:rPr>
          <w:lang w:val="el-GR"/>
        </w:rPr>
        <w:t>., 2016). Βάση της πρότασης αποτελούν η έκθεση του 79% των παιδιών σε τουλάχιστον μία μορφή βίας και οι αφηγήσεις του Θέματος 5.</w:t>
      </w:r>
    </w:p>
    <w:p w14:paraId="1EF031BB" w14:textId="705BF6A2" w:rsidR="00E63D5B" w:rsidRPr="00132066" w:rsidRDefault="001F059D">
      <w:pPr>
        <w:rPr>
          <w:lang w:val="el-GR"/>
        </w:rPr>
      </w:pPr>
      <w:proofErr w:type="spellStart"/>
      <w:r>
        <w:rPr>
          <w:b/>
          <w:bCs/>
          <w:lang w:val="el-GR"/>
        </w:rPr>
        <w:t>Σχεσιοκεντρικές</w:t>
      </w:r>
      <w:proofErr w:type="spellEnd"/>
      <w:r>
        <w:rPr>
          <w:b/>
          <w:bCs/>
          <w:lang w:val="el-GR"/>
        </w:rPr>
        <w:t xml:space="preserve"> παρεμβάσεις.</w:t>
      </w:r>
      <w:r>
        <w:rPr>
          <w:lang w:val="el-GR"/>
        </w:rPr>
        <w:t xml:space="preserve"> Πιλοτική εφαρμογή και σταδιακή ένταξη της Ψυχοθεραπείας Γονέα–Παιδιού (</w:t>
      </w:r>
      <w:r>
        <w:t>CPP</w:t>
      </w:r>
      <w:r>
        <w:rPr>
          <w:lang w:val="el-GR"/>
        </w:rPr>
        <w:t>·</w:t>
      </w:r>
      <w:r>
        <w:t>Lieberman</w:t>
      </w:r>
      <w:r>
        <w:rPr>
          <w:lang w:val="el-GR"/>
        </w:rPr>
        <w:t xml:space="preserve"> </w:t>
      </w:r>
      <w:r>
        <w:t>et</w:t>
      </w:r>
      <w:r>
        <w:rPr>
          <w:lang w:val="el-GR"/>
        </w:rPr>
        <w:t xml:space="preserve"> </w:t>
      </w:r>
      <w:r>
        <w:t>al</w:t>
      </w:r>
      <w:r>
        <w:rPr>
          <w:lang w:val="el-GR"/>
        </w:rPr>
        <w:t xml:space="preserve">., 2015) για παιδιά έως 5 ετών στις δημόσιες υπηρεσίες και στους ξενώνες, προσαρμοσμένη </w:t>
      </w:r>
      <w:r>
        <w:t>PCIT</w:t>
      </w:r>
      <w:r>
        <w:rPr>
          <w:lang w:val="el-GR"/>
        </w:rPr>
        <w:t xml:space="preserve"> (</w:t>
      </w:r>
      <w:r>
        <w:t>Kennedy</w:t>
      </w:r>
      <w:r>
        <w:rPr>
          <w:lang w:val="el-GR"/>
        </w:rPr>
        <w:t xml:space="preserve"> </w:t>
      </w:r>
      <w:r>
        <w:t>et</w:t>
      </w:r>
      <w:r>
        <w:rPr>
          <w:lang w:val="el-GR"/>
        </w:rPr>
        <w:t xml:space="preserve"> </w:t>
      </w:r>
      <w:r>
        <w:t>al</w:t>
      </w:r>
      <w:r>
        <w:rPr>
          <w:lang w:val="el-GR"/>
        </w:rPr>
        <w:t>., 2016·</w:t>
      </w:r>
      <w:r>
        <w:t>Warren</w:t>
      </w:r>
      <w:r>
        <w:rPr>
          <w:lang w:val="el-GR"/>
        </w:rPr>
        <w:t xml:space="preserve"> </w:t>
      </w:r>
      <w:r>
        <w:t>et</w:t>
      </w:r>
      <w:r>
        <w:rPr>
          <w:lang w:val="el-GR"/>
        </w:rPr>
        <w:t xml:space="preserve"> </w:t>
      </w:r>
      <w:r>
        <w:t>al</w:t>
      </w:r>
      <w:r>
        <w:rPr>
          <w:lang w:val="el-GR"/>
        </w:rPr>
        <w:t xml:space="preserve">., 2022) για παιδιά 2–7 ετών με προβλήματα συμπεριφοράς, για μεγαλύτερα παιδιά και εφήβους, εστιασμένες στο τραύμα παρεμβάσεις, θεραπεία μέσω παιχνιδιού και ασφαλείς </w:t>
      </w:r>
      <w:proofErr w:type="spellStart"/>
      <w:r>
        <w:rPr>
          <w:lang w:val="el-GR"/>
        </w:rPr>
        <w:t>ψυχοεκπαιδευτικές</w:t>
      </w:r>
      <w:proofErr w:type="spellEnd"/>
      <w:r>
        <w:rPr>
          <w:lang w:val="el-GR"/>
        </w:rPr>
        <w:t xml:space="preserve"> ομάδες (</w:t>
      </w:r>
      <w:r>
        <w:t>Cohen</w:t>
      </w:r>
      <w:r>
        <w:rPr>
          <w:lang w:val="el-GR"/>
        </w:rPr>
        <w:t xml:space="preserve"> </w:t>
      </w:r>
      <w:r>
        <w:t>et</w:t>
      </w:r>
      <w:r>
        <w:rPr>
          <w:lang w:val="el-GR"/>
        </w:rPr>
        <w:t xml:space="preserve"> </w:t>
      </w:r>
      <w:r>
        <w:t>al</w:t>
      </w:r>
      <w:r>
        <w:rPr>
          <w:lang w:val="el-GR"/>
        </w:rPr>
        <w:t>., 2011·</w:t>
      </w:r>
      <w:r>
        <w:t>Graham</w:t>
      </w:r>
      <w:r>
        <w:rPr>
          <w:lang w:val="el-GR"/>
        </w:rPr>
        <w:t>-</w:t>
      </w:r>
      <w:r>
        <w:t>Bermann</w:t>
      </w:r>
      <w:r>
        <w:rPr>
          <w:lang w:val="el-GR"/>
        </w:rPr>
        <w:t xml:space="preserve"> </w:t>
      </w:r>
      <w:r>
        <w:t>et</w:t>
      </w:r>
      <w:r>
        <w:rPr>
          <w:lang w:val="el-GR"/>
        </w:rPr>
        <w:t xml:space="preserve"> </w:t>
      </w:r>
      <w:r>
        <w:t>al</w:t>
      </w:r>
      <w:r>
        <w:rPr>
          <w:lang w:val="el-GR"/>
        </w:rPr>
        <w:t>., 2007·</w:t>
      </w:r>
      <w:r>
        <w:t>Howarth</w:t>
      </w:r>
      <w:r>
        <w:rPr>
          <w:lang w:val="el-GR"/>
        </w:rPr>
        <w:t xml:space="preserve"> </w:t>
      </w:r>
      <w:r>
        <w:t>et</w:t>
      </w:r>
      <w:r>
        <w:rPr>
          <w:lang w:val="el-GR"/>
        </w:rPr>
        <w:t xml:space="preserve"> </w:t>
      </w:r>
      <w:r>
        <w:t>al</w:t>
      </w:r>
      <w:r>
        <w:rPr>
          <w:lang w:val="el-GR"/>
        </w:rPr>
        <w:t>., 2016), με έμφαση στην ορθή απόδοση της ευθύνης στον ενήλικο και στην αποδέσμευση του παιδιού από την ενοχή. Η πρόταση εδράζεται στο εύρημα ότι η ψυχική υγεία της μητέρας λειτουργεί ως δίαυλος προς την προσαρμογή του παιδιού, ενώ η συναισθηματική ζεστασιά διατηρείται.</w:t>
      </w:r>
    </w:p>
    <w:p w14:paraId="7FB08CD9" w14:textId="77777777" w:rsidR="00E63D5B" w:rsidRPr="00132066" w:rsidRDefault="001F059D">
      <w:pPr>
        <w:rPr>
          <w:lang w:val="el-GR"/>
        </w:rPr>
      </w:pPr>
      <w:r>
        <w:rPr>
          <w:b/>
          <w:bCs/>
          <w:lang w:val="el-GR"/>
        </w:rPr>
        <w:t>Ασφαλής χώρος για τη φωνή των παιδιών.</w:t>
      </w:r>
      <w:r>
        <w:rPr>
          <w:lang w:val="el-GR"/>
        </w:rPr>
        <w:t xml:space="preserve"> Τα παιδιά να γνωρίζουν ότι μπορούν να μιλήσουν και έξω από το σπίτι (σχολείο, ψυχολόγος), χωρίς να φέρουν την ευθύνη να αποδείξουν τη βία ή να αποφασίσουν για λογαριασμό των ενηλίκων. Η πρόταση στηρίζεται στο αίτημα που διατυπώνουν τα ίδια τα παιδιά στις αφηγήσεις των μητέρων («πότε θα τα πω εγώ;»).</w:t>
      </w:r>
    </w:p>
    <w:p w14:paraId="331870B2" w14:textId="77777777" w:rsidR="00E63D5B" w:rsidRPr="00132066" w:rsidRDefault="001F059D">
      <w:pPr>
        <w:rPr>
          <w:lang w:val="el-GR"/>
        </w:rPr>
      </w:pPr>
      <w:r>
        <w:rPr>
          <w:b/>
          <w:bCs/>
          <w:lang w:val="el-GR"/>
        </w:rPr>
        <w:t>Θετική γονεϊκότητα χωρίς μητρική ενοχοποίηση.</w:t>
      </w:r>
      <w:r>
        <w:rPr>
          <w:lang w:val="el-GR"/>
        </w:rPr>
        <w:t xml:space="preserve"> Προγράμματα θετικής και </w:t>
      </w:r>
      <w:proofErr w:type="spellStart"/>
      <w:r>
        <w:rPr>
          <w:lang w:val="el-GR"/>
        </w:rPr>
        <w:t>αναστοχαστικής</w:t>
      </w:r>
      <w:proofErr w:type="spellEnd"/>
      <w:r>
        <w:rPr>
          <w:lang w:val="el-GR"/>
        </w:rPr>
        <w:t xml:space="preserve"> </w:t>
      </w:r>
      <w:proofErr w:type="spellStart"/>
      <w:r>
        <w:rPr>
          <w:lang w:val="el-GR"/>
        </w:rPr>
        <w:t>γονεϊκότητας</w:t>
      </w:r>
      <w:proofErr w:type="spellEnd"/>
      <w:r>
        <w:rPr>
          <w:lang w:val="el-GR"/>
        </w:rPr>
        <w:t xml:space="preserve"> σε ξενώνες, Συμβουλευτικά Κέντρα, Κέντρα Κοινότητας και πρωτοβάθμια φροντίδα, που να βοηθούν τις μητέρες να διακρίνουν πότε η </w:t>
      </w:r>
      <w:proofErr w:type="spellStart"/>
      <w:r>
        <w:rPr>
          <w:lang w:val="el-GR"/>
        </w:rPr>
        <w:t>υπερεπαγρύπνηση</w:t>
      </w:r>
      <w:proofErr w:type="spellEnd"/>
      <w:r>
        <w:rPr>
          <w:lang w:val="el-GR"/>
        </w:rPr>
        <w:t xml:space="preserve"> γίνεται υπερπροστασία, να ανταποκρίνονται στον θυμό ή την απόσυρση του παιδιού και να θέτουν όρια χωρίς να αναπαράγει τον έλεγχο (</w:t>
      </w:r>
      <w:proofErr w:type="spellStart"/>
      <w:r>
        <w:t>Altafim</w:t>
      </w:r>
      <w:proofErr w:type="spellEnd"/>
      <w:r>
        <w:rPr>
          <w:lang w:val="el-GR"/>
        </w:rPr>
        <w:t xml:space="preserve"> </w:t>
      </w:r>
      <w:r>
        <w:t>et</w:t>
      </w:r>
      <w:r>
        <w:rPr>
          <w:lang w:val="el-GR"/>
        </w:rPr>
        <w:t xml:space="preserve"> </w:t>
      </w:r>
      <w:r>
        <w:t>al</w:t>
      </w:r>
      <w:r>
        <w:rPr>
          <w:lang w:val="el-GR"/>
        </w:rPr>
        <w:t>., 2024·</w:t>
      </w:r>
      <w:r>
        <w:t>WHO</w:t>
      </w:r>
      <w:r>
        <w:rPr>
          <w:lang w:val="el-GR"/>
        </w:rPr>
        <w:t>, 2023). Οι παρεμβάσεις να αναγνωρίζουν ρητά ότι η γονεϊκή δυσκολία είναι συνέπεια της βίας και να συνδυάζονται με προστασία, θεραπεία του τραύματος και υλική στήριξη (</w:t>
      </w:r>
      <w:r>
        <w:t>Bacchus</w:t>
      </w:r>
      <w:r>
        <w:rPr>
          <w:lang w:val="el-GR"/>
        </w:rPr>
        <w:t xml:space="preserve"> </w:t>
      </w:r>
      <w:r>
        <w:t>et</w:t>
      </w:r>
      <w:r>
        <w:rPr>
          <w:lang w:val="el-GR"/>
        </w:rPr>
        <w:t xml:space="preserve"> </w:t>
      </w:r>
      <w:r>
        <w:t>al</w:t>
      </w:r>
      <w:r>
        <w:rPr>
          <w:lang w:val="el-GR"/>
        </w:rPr>
        <w:t>., 2024·</w:t>
      </w:r>
      <w:r>
        <w:t>Isobel</w:t>
      </w:r>
      <w:r>
        <w:rPr>
          <w:lang w:val="el-GR"/>
        </w:rPr>
        <w:t xml:space="preserve"> </w:t>
      </w:r>
      <w:r>
        <w:t>et</w:t>
      </w:r>
      <w:r>
        <w:rPr>
          <w:lang w:val="el-GR"/>
        </w:rPr>
        <w:t xml:space="preserve"> </w:t>
      </w:r>
      <w:r>
        <w:t>al</w:t>
      </w:r>
      <w:r>
        <w:rPr>
          <w:lang w:val="el-GR"/>
        </w:rPr>
        <w:t>., 2019). Η πρόταση απορρέει από την αυξημένη υπερπροστασία και αγχώδη ανατροφή των μητέρων με πιθανή ΔΜΤΣ και από το Θέμα 6.</w:t>
      </w:r>
    </w:p>
    <w:p w14:paraId="4BA82CE9" w14:textId="77777777" w:rsidR="00E63D5B" w:rsidRPr="00132066" w:rsidRDefault="001F059D">
      <w:pPr>
        <w:rPr>
          <w:lang w:val="el-GR"/>
        </w:rPr>
      </w:pPr>
      <w:r>
        <w:rPr>
          <w:b/>
          <w:bCs/>
          <w:lang w:val="el-GR"/>
        </w:rPr>
        <w:t>Επιμέλεια και επικοινωνία με βάση το ιστορικό της βίας.</w:t>
      </w:r>
      <w:r>
        <w:rPr>
          <w:lang w:val="el-GR"/>
        </w:rPr>
        <w:t xml:space="preserve"> Οι ρυθμίσεις επιμέλειας και επικοινωνίας να βασίζονται σε εξειδικευμένη αξιολόγηση της δυναμικής της βίας, συμπεριλαμβανομένου του εξαναγκαστικού ελέγχου μετά τον χωρισμό και της </w:t>
      </w:r>
      <w:proofErr w:type="spellStart"/>
      <w:r>
        <w:rPr>
          <w:lang w:val="el-GR"/>
        </w:rPr>
        <w:t>εργαλειοποίησης</w:t>
      </w:r>
      <w:proofErr w:type="spellEnd"/>
      <w:r>
        <w:rPr>
          <w:lang w:val="el-GR"/>
        </w:rPr>
        <w:t xml:space="preserve"> του παιδιού. Η συμμετοχή του δράστη σε θεραπευτικό πρόγραμμα να μη θεωρείται από μόνη της απόδειξη ασφάλειας ή λόγος διεύρυνσης της επαφής (</w:t>
      </w:r>
      <w:r>
        <w:t>GREVIO</w:t>
      </w:r>
      <w:r>
        <w:rPr>
          <w:lang w:val="el-GR"/>
        </w:rPr>
        <w:t>, 2023·</w:t>
      </w:r>
      <w:r>
        <w:t>Spearman</w:t>
      </w:r>
      <w:r>
        <w:rPr>
          <w:lang w:val="el-GR"/>
        </w:rPr>
        <w:t xml:space="preserve"> </w:t>
      </w:r>
      <w:r>
        <w:t>et</w:t>
      </w:r>
      <w:r>
        <w:rPr>
          <w:lang w:val="el-GR"/>
        </w:rPr>
        <w:t xml:space="preserve"> </w:t>
      </w:r>
      <w:r>
        <w:t>al</w:t>
      </w:r>
      <w:r>
        <w:rPr>
          <w:lang w:val="el-GR"/>
        </w:rPr>
        <w:t xml:space="preserve">., 2024). Η πρόταση προκύπτει από το Θέμα 7 και από τις σχετικές διαπιστώσεις της </w:t>
      </w:r>
      <w:r>
        <w:t>GREVIO</w:t>
      </w:r>
      <w:r>
        <w:rPr>
          <w:lang w:val="el-GR"/>
        </w:rPr>
        <w:t xml:space="preserve"> (2023).</w:t>
      </w:r>
    </w:p>
    <w:p w14:paraId="0DCFD518" w14:textId="77777777" w:rsidR="00E63D5B" w:rsidRPr="00132066" w:rsidRDefault="001F059D">
      <w:pPr>
        <w:pStyle w:val="20"/>
        <w:rPr>
          <w:lang w:val="el-GR"/>
        </w:rPr>
      </w:pPr>
      <w:bookmarkStart w:id="77" w:name="_Toc242134482"/>
      <w:r>
        <w:rPr>
          <w:lang w:val="el-GR"/>
        </w:rPr>
        <w:lastRenderedPageBreak/>
        <w:t>10.3 Για τις μετανάστριες και προσφύγισσες</w:t>
      </w:r>
      <w:bookmarkEnd w:id="77"/>
    </w:p>
    <w:p w14:paraId="792EA327" w14:textId="77777777" w:rsidR="00E63D5B" w:rsidRPr="00132066" w:rsidRDefault="001F059D">
      <w:pPr>
        <w:rPr>
          <w:lang w:val="el-GR"/>
        </w:rPr>
      </w:pPr>
      <w:r>
        <w:rPr>
          <w:lang w:val="el-GR"/>
        </w:rPr>
        <w:t>Συστηματική ανίχνευση συμπτωμάτων ΔΜΤΣ, κατάθλιψης και έκθεσης σε βία κατά την πρώτη επαφή με τις υπηρεσίες υγείας, τα Κέντρα Υποδοχής και Ταυτοποίησης, τις δομές φιλοξενίας και την πρωτοβάθμια φροντίδα, με άμεση παραπομπή (</w:t>
      </w:r>
      <w:r>
        <w:t>UNHCR</w:t>
      </w:r>
      <w:r>
        <w:rPr>
          <w:lang w:val="el-GR"/>
        </w:rPr>
        <w:t>, 2023·</w:t>
      </w:r>
      <w:r>
        <w:t>WHO</w:t>
      </w:r>
      <w:r>
        <w:rPr>
          <w:lang w:val="el-GR"/>
        </w:rPr>
        <w:t xml:space="preserve">, 2019). Ενίσχυση των δωρεάν υπηρεσιών ψυχολογικής υποστήριξης με επαγγελματική διερμηνεία και διαπολιτισμική διαμεσολάβηση, δηλαδή όχι απλή μεταφορά λέξεων από τη μία γλώσσα στην άλλη, αλλά γλωσσική και πολιτισμική διαμεσολάβηση, δεσμευμένη από την αρχή της εμπιστευτικότητας. Περαιτέρω εξειδίκευση όλων των υπηρεσιών που προσφέρουν στήριξη σε γυναίκες (Συμβουλευτικά Κέντρα, Ξενώνες Φιλοξενίας, κοινωνικές υπηρεσίες, δομές φιλοξενίας προσφύγων, ΜΚΟ): επιμόρφωση των επαγγελματιών σε πολιτισμικά ανταποκρινόμενες πρακτικές, εξειδικευμένη διαχείριση περιπτώσεων όπου η βία συνδέεται με το άσυλο, το καθεστώς διαμονής ή την εξάρτηση από τον δράστη, και πρόσβαση σε προστασία ανεξάρτητα από το καθεστώς διαμονής. Σταθερά πρωτόκολλα συνεργασίας και παραπομπής με το ΕΚΚΑ, τα νοσοκομεία, τις υπηρεσίες ψυχικής υγείας, τα Κέντρα Κοινότητας και τις διαπιστευμένες οργανώσεις που δραστηριοποιούνται σε προσφυγικούς πληθυσμούς. Προγράμματα ενδυνάμωσης μέσω ομάδων </w:t>
      </w:r>
      <w:proofErr w:type="spellStart"/>
      <w:r>
        <w:rPr>
          <w:lang w:val="el-GR"/>
        </w:rPr>
        <w:t>ψυχοεκπαίδευσης</w:t>
      </w:r>
      <w:proofErr w:type="spellEnd"/>
      <w:r>
        <w:rPr>
          <w:lang w:val="el-GR"/>
        </w:rPr>
        <w:t xml:space="preserve"> και αυτοβοήθειας (</w:t>
      </w:r>
      <w:r>
        <w:t>Turrini</w:t>
      </w:r>
      <w:r>
        <w:rPr>
          <w:lang w:val="el-GR"/>
        </w:rPr>
        <w:t xml:space="preserve"> </w:t>
      </w:r>
      <w:r>
        <w:t>et</w:t>
      </w:r>
      <w:r>
        <w:rPr>
          <w:lang w:val="el-GR"/>
        </w:rPr>
        <w:t xml:space="preserve"> </w:t>
      </w:r>
      <w:r>
        <w:t>al</w:t>
      </w:r>
      <w:r>
        <w:rPr>
          <w:lang w:val="el-GR"/>
        </w:rPr>
        <w:t>., 2025·</w:t>
      </w:r>
      <w:r>
        <w:t>WHO</w:t>
      </w:r>
      <w:r>
        <w:rPr>
          <w:lang w:val="el-GR"/>
        </w:rPr>
        <w:t xml:space="preserve">, 2018). Υποστήριξη των μητέρων χωρίς η πρόληψη της </w:t>
      </w:r>
      <w:proofErr w:type="spellStart"/>
      <w:r>
        <w:rPr>
          <w:lang w:val="el-GR"/>
        </w:rPr>
        <w:t>διαγενεακής</w:t>
      </w:r>
      <w:proofErr w:type="spellEnd"/>
      <w:r>
        <w:rPr>
          <w:lang w:val="el-GR"/>
        </w:rPr>
        <w:t xml:space="preserve"> μετάδοσης να παρουσιάζεται ως αποκλειστικά δική τους ευθύνη. Βάση της πρότασης αποτελούν τα ευρήματα του στόχου (ε), σύμφωνα με τα οποία η </w:t>
      </w:r>
      <w:proofErr w:type="spellStart"/>
      <w:r>
        <w:rPr>
          <w:lang w:val="el-GR"/>
        </w:rPr>
        <w:t>ευαλωτότητα</w:t>
      </w:r>
      <w:proofErr w:type="spellEnd"/>
      <w:r>
        <w:rPr>
          <w:lang w:val="el-GR"/>
        </w:rPr>
        <w:t xml:space="preserve"> των μεταναστριών είναι πρωτίστως </w:t>
      </w:r>
      <w:proofErr w:type="spellStart"/>
      <w:r>
        <w:rPr>
          <w:lang w:val="el-GR"/>
        </w:rPr>
        <w:t>ευαλωτότητα</w:t>
      </w:r>
      <w:proofErr w:type="spellEnd"/>
      <w:r>
        <w:rPr>
          <w:lang w:val="el-GR"/>
        </w:rPr>
        <w:t xml:space="preserve"> πρόσβασης.</w:t>
      </w:r>
    </w:p>
    <w:p w14:paraId="0D35FA2B" w14:textId="77777777" w:rsidR="00E63D5B" w:rsidRPr="00132066" w:rsidRDefault="001F059D">
      <w:pPr>
        <w:pStyle w:val="20"/>
        <w:rPr>
          <w:lang w:val="el-GR"/>
        </w:rPr>
      </w:pPr>
      <w:bookmarkStart w:id="78" w:name="_Toc242134483"/>
      <w:r>
        <w:rPr>
          <w:lang w:val="el-GR"/>
        </w:rPr>
        <w:t>10.4 Για τους δράστες</w:t>
      </w:r>
      <w:bookmarkEnd w:id="78"/>
    </w:p>
    <w:p w14:paraId="6ACB05C8" w14:textId="77777777" w:rsidR="00E63D5B" w:rsidRPr="00132066" w:rsidRDefault="001F059D">
      <w:pPr>
        <w:rPr>
          <w:lang w:val="el-GR"/>
        </w:rPr>
      </w:pPr>
      <w:r>
        <w:rPr>
          <w:lang w:val="el-GR"/>
        </w:rPr>
        <w:t xml:space="preserve">Τα προγράμματα για δράστες να μην περιορίζονται στη «διαχείριση θυμού», αλλά να στοχεύουν στην ανάληψη ευθύνης χωρίς ελαχιστοποίηση, στην αναγνώριση των επιπτώσεων της βίας στις γυναίκες και στα παιδιά, στην αμφισβήτηση των έμφυλων πεποιθήσεων που νομιμοποιούν τον έλεγχο και στην ανάπτυξη μη βίαιων τρόπων σχέσης. Να εντάσσονται σε συντονισμένο σύστημα προστασίας με παράλληλη και ανεξάρτητη υποστήριξη των επιζωσών και συστηματική εκτίμηση κινδύνου. Η ένταση να προσαρμόζεται στο επίπεδο κινδύνου, τη χρήση ουσιών και τη γονεϊκή λειτουργία. Για πατέρες που έχουν εκθέσει τα παιδιά στη βία μπορούν να εξεταστούν μοντέλα όπως το </w:t>
      </w:r>
      <w:r>
        <w:t>Caring</w:t>
      </w:r>
      <w:r>
        <w:rPr>
          <w:lang w:val="el-GR"/>
        </w:rPr>
        <w:t xml:space="preserve"> </w:t>
      </w:r>
      <w:r>
        <w:t>Dads</w:t>
      </w:r>
      <w:r>
        <w:rPr>
          <w:lang w:val="el-GR"/>
        </w:rPr>
        <w:t xml:space="preserve"> ή το </w:t>
      </w:r>
      <w:r>
        <w:t>Fathers</w:t>
      </w:r>
      <w:r>
        <w:rPr>
          <w:lang w:val="el-GR"/>
        </w:rPr>
        <w:t xml:space="preserve"> </w:t>
      </w:r>
      <w:r>
        <w:t>for</w:t>
      </w:r>
      <w:r>
        <w:rPr>
          <w:lang w:val="el-GR"/>
        </w:rPr>
        <w:t xml:space="preserve"> </w:t>
      </w:r>
      <w:r>
        <w:t>Change</w:t>
      </w:r>
      <w:r>
        <w:rPr>
          <w:lang w:val="el-GR"/>
        </w:rPr>
        <w:t xml:space="preserve"> (</w:t>
      </w:r>
      <w:r>
        <w:t>Scott</w:t>
      </w:r>
      <w:r>
        <w:rPr>
          <w:lang w:val="el-GR"/>
        </w:rPr>
        <w:t xml:space="preserve"> </w:t>
      </w:r>
      <w:r>
        <w:t>et</w:t>
      </w:r>
      <w:r>
        <w:rPr>
          <w:lang w:val="el-GR"/>
        </w:rPr>
        <w:t xml:space="preserve"> </w:t>
      </w:r>
      <w:r>
        <w:t>al</w:t>
      </w:r>
      <w:r>
        <w:rPr>
          <w:lang w:val="el-GR"/>
        </w:rPr>
        <w:t>., 2021·</w:t>
      </w:r>
      <w:r>
        <w:t>Stover</w:t>
      </w:r>
      <w:r>
        <w:rPr>
          <w:lang w:val="el-GR"/>
        </w:rPr>
        <w:t>, 2013). Η ολοκλήρωση του προγράμματος να μη θεωρείται τεκμήριο αλλαγής: η αξιολόγηση να συνδυάζει επίσημα στοιχεία, ασφαλώς συλλεγόμενες πληροφορίες από τις επιζώσες, την αίσθηση ασφάλειας και ελευθερίας των γυναικών και την ευημερία των παιδιών (</w:t>
      </w:r>
      <w:r>
        <w:t>Kelly</w:t>
      </w:r>
      <w:r>
        <w:rPr>
          <w:lang w:val="el-GR"/>
        </w:rPr>
        <w:t xml:space="preserve"> &amp; </w:t>
      </w:r>
      <w:proofErr w:type="spellStart"/>
      <w:r>
        <w:t>Westmarland</w:t>
      </w:r>
      <w:proofErr w:type="spellEnd"/>
      <w:r>
        <w:rPr>
          <w:lang w:val="el-GR"/>
        </w:rPr>
        <w:t>, 2015·</w:t>
      </w:r>
      <w:r>
        <w:t>Travers</w:t>
      </w:r>
      <w:r>
        <w:rPr>
          <w:lang w:val="el-GR"/>
        </w:rPr>
        <w:t xml:space="preserve"> </w:t>
      </w:r>
      <w:r>
        <w:t>et</w:t>
      </w:r>
      <w:r>
        <w:rPr>
          <w:lang w:val="el-GR"/>
        </w:rPr>
        <w:t xml:space="preserve"> </w:t>
      </w:r>
      <w:r>
        <w:t>al</w:t>
      </w:r>
      <w:r>
        <w:rPr>
          <w:lang w:val="el-GR"/>
        </w:rPr>
        <w:t xml:space="preserve">., 2021). Η πρόταση θεμελιώνεται στο Θέμα 4 (η </w:t>
      </w:r>
      <w:proofErr w:type="spellStart"/>
      <w:r>
        <w:rPr>
          <w:lang w:val="el-GR"/>
        </w:rPr>
        <w:t>διαγενεακή</w:t>
      </w:r>
      <w:proofErr w:type="spellEnd"/>
      <w:r>
        <w:rPr>
          <w:lang w:val="el-GR"/>
        </w:rPr>
        <w:t xml:space="preserve"> αλυσίδα στην οικογένεια του δράστη) και στο αίτημα των γυναικών για λογοδοσία.</w:t>
      </w:r>
    </w:p>
    <w:p w14:paraId="09A9B269" w14:textId="77777777" w:rsidR="00E63D5B" w:rsidRPr="00132066" w:rsidRDefault="001F059D">
      <w:pPr>
        <w:pStyle w:val="20"/>
        <w:rPr>
          <w:lang w:val="el-GR"/>
        </w:rPr>
      </w:pPr>
      <w:bookmarkStart w:id="79" w:name="_Toc242134484"/>
      <w:r>
        <w:rPr>
          <w:lang w:val="el-GR"/>
        </w:rPr>
        <w:t>10.5 Για τις υπηρεσίες και τους/τις επαγγελματίες</w:t>
      </w:r>
      <w:bookmarkEnd w:id="79"/>
    </w:p>
    <w:p w14:paraId="4E2E1739" w14:textId="77777777" w:rsidR="00E63D5B" w:rsidRPr="00132066" w:rsidRDefault="001F059D">
      <w:pPr>
        <w:rPr>
          <w:lang w:val="el-GR"/>
        </w:rPr>
      </w:pPr>
      <w:r>
        <w:rPr>
          <w:b/>
          <w:bCs/>
          <w:lang w:val="el-GR"/>
        </w:rPr>
        <w:t>Έγκαιρη αναγνώριση και δίκτυο παραπομπής.</w:t>
      </w:r>
      <w:r>
        <w:rPr>
          <w:lang w:val="el-GR"/>
        </w:rPr>
        <w:t xml:space="preserve"> Η διερεύνηση της βίας και του τραύματος να γίνεται από εκπαιδευμένους/ες επαγγελματίες, σε ιδιωτικό πλαίσιο και μόνο όταν υπάρχει σαφές πρωτόκολλο ανταπόκρισης και διαδρομές παραπομπής. Κάθε θετική ανίχνευση να ενεργοποιεί εκτίμηση κινδύνου, ενημέρωση για δικαιώματα και επιλογές, συνεργατικό σχεδιασμό ασφάλειας και διασύνδεση με ψυχολογικές, κοινωνικές, νομικές και </w:t>
      </w:r>
      <w:proofErr w:type="spellStart"/>
      <w:r>
        <w:rPr>
          <w:lang w:val="el-GR"/>
        </w:rPr>
        <w:t>παιδοψυχιατρικές</w:t>
      </w:r>
      <w:proofErr w:type="spellEnd"/>
      <w:r>
        <w:rPr>
          <w:lang w:val="el-GR"/>
        </w:rPr>
        <w:t xml:space="preserve"> υπηρεσίες (</w:t>
      </w:r>
      <w:r>
        <w:t>Mercier</w:t>
      </w:r>
      <w:r>
        <w:rPr>
          <w:lang w:val="el-GR"/>
        </w:rPr>
        <w:t xml:space="preserve"> </w:t>
      </w:r>
      <w:r>
        <w:t>et</w:t>
      </w:r>
      <w:r>
        <w:rPr>
          <w:lang w:val="el-GR"/>
        </w:rPr>
        <w:t xml:space="preserve"> </w:t>
      </w:r>
      <w:r>
        <w:t>al</w:t>
      </w:r>
      <w:r>
        <w:rPr>
          <w:lang w:val="el-GR"/>
        </w:rPr>
        <w:t xml:space="preserve">., 2024· </w:t>
      </w:r>
      <w:r>
        <w:t>SAMHSA</w:t>
      </w:r>
      <w:r>
        <w:rPr>
          <w:lang w:val="el-GR"/>
        </w:rPr>
        <w:t>, 2014). Η πρόταση εδράζεται στο εύρημα ότι το τραύμα αποτελεί τον κανόνα στον πληθυσμό των δομών και στο Θέμα 8, όπου η ονομασία της βίας αναδεικνύεται ως αφετηρία της απεμπλοκής.</w:t>
      </w:r>
    </w:p>
    <w:p w14:paraId="593DBE92" w14:textId="77777777" w:rsidR="00E63D5B" w:rsidRPr="00132066" w:rsidRDefault="001F059D">
      <w:pPr>
        <w:rPr>
          <w:lang w:val="el-GR"/>
        </w:rPr>
      </w:pPr>
      <w:r>
        <w:rPr>
          <w:b/>
          <w:bCs/>
          <w:lang w:val="el-GR"/>
        </w:rPr>
        <w:lastRenderedPageBreak/>
        <w:t>Υποχρεωτική εκπαίδευση των επαγγελματιών πρώτης γραμμής.</w:t>
      </w:r>
      <w:r>
        <w:rPr>
          <w:lang w:val="el-GR"/>
        </w:rPr>
        <w:t xml:space="preserve"> Εκπαίδευση αστυνομικών, δικαστικών λειτουργών, επαγγελματιών υγείας και ψυχικής υγείας, κοινωνικών λειτουργών και εκπαιδευτικών, η οποία να μην περιορίζεται στην αναγνώριση της σωματικής βίας αλλά να περιλαμβάνει τον εξαναγκαστικό έλεγχο, τις αντιδράσεις στο τραύμα, τη μη επικριτική ανταπόκριση στην αποκάλυψη, την αξιολόγηση κινδύνου και τον σχεδιασμό ασφάλειας, με συνεχή εποπτεία και διαδικασίες λογοδοσίας (</w:t>
      </w:r>
      <w:r>
        <w:t>Ross</w:t>
      </w:r>
      <w:r>
        <w:rPr>
          <w:lang w:val="el-GR"/>
        </w:rPr>
        <w:t xml:space="preserve"> </w:t>
      </w:r>
      <w:r>
        <w:t>et</w:t>
      </w:r>
      <w:r>
        <w:rPr>
          <w:lang w:val="el-GR"/>
        </w:rPr>
        <w:t xml:space="preserve"> </w:t>
      </w:r>
      <w:r>
        <w:t>al</w:t>
      </w:r>
      <w:r>
        <w:rPr>
          <w:lang w:val="el-GR"/>
        </w:rPr>
        <w:t>., 2026·</w:t>
      </w:r>
      <w:r>
        <w:t>Smith</w:t>
      </w:r>
      <w:r>
        <w:rPr>
          <w:lang w:val="el-GR"/>
        </w:rPr>
        <w:t xml:space="preserve"> &amp; </w:t>
      </w:r>
      <w:r>
        <w:t>Freyd</w:t>
      </w:r>
      <w:r>
        <w:rPr>
          <w:lang w:val="el-GR"/>
        </w:rPr>
        <w:t>, 2014). Ενίσχυση των Γραφείων Αντιμετώπισης Ενδοοικογενειακής Βίας της Ελληνικής Αστυνομίας. Η πρόταση στηρίζεται στο Θέμα 7 και σε εμπειρίες όπως η ερώτηση «δεν το είχες καταλάβει;».</w:t>
      </w:r>
    </w:p>
    <w:p w14:paraId="30C4D137" w14:textId="77777777" w:rsidR="00E63D5B" w:rsidRPr="00132066" w:rsidRDefault="001F059D">
      <w:pPr>
        <w:rPr>
          <w:lang w:val="el-GR"/>
        </w:rPr>
      </w:pPr>
      <w:r>
        <w:rPr>
          <w:b/>
          <w:bCs/>
          <w:lang w:val="el-GR"/>
        </w:rPr>
        <w:t>Συντονισμός των υπηρεσιών αντί κατακερματισμού.</w:t>
      </w:r>
      <w:r>
        <w:rPr>
          <w:lang w:val="el-GR"/>
        </w:rPr>
        <w:t xml:space="preserve"> Θεσμοθέτηση ενός </w:t>
      </w:r>
      <w:proofErr w:type="spellStart"/>
      <w:r>
        <w:rPr>
          <w:lang w:val="el-GR"/>
        </w:rPr>
        <w:t>πολυτομεακού</w:t>
      </w:r>
      <w:proofErr w:type="spellEnd"/>
      <w:r>
        <w:rPr>
          <w:lang w:val="el-GR"/>
        </w:rPr>
        <w:t xml:space="preserve"> μοντέλου συνεργασίας σε όλες τις Περιφέρειες, με κοινά πρωτόκολλα αξιολόγησης κινδύνου, παραπομπής και παρακολούθησης, αξιοποιώντας την εμπειρία προηγούμενων πιλοτικών εφαρμογών στην Ελλάδα, όπως το πρόγραμμα </w:t>
      </w:r>
      <w:r>
        <w:t>ARIADNE</w:t>
      </w:r>
      <w:r>
        <w:rPr>
          <w:lang w:val="el-GR"/>
        </w:rPr>
        <w:t xml:space="preserve"> (ΚΕΜΕΑ, Ελληνική Αστυνομία, ΚΕΘΙ, ΕΚΚΑ, Δήμος Αθηναίων), το οποίο, αν και έχει ολοκληρωθεί, άφησε ως παρακαταθήκη τη σύσταση των ειδικών Γραφείων της Αστυνομίας και έναν Πρακτικό Αστυνομικό Οδηγό (ΚΕΜΕΑ, 2017). Ολοκληρωμένα κέντρα «μίας στάσης» που μειώνουν την ανάγκη επαναλαμβανόμενης αφήγησης (</w:t>
      </w:r>
      <w:r>
        <w:t>WHO</w:t>
      </w:r>
      <w:r>
        <w:rPr>
          <w:lang w:val="el-GR"/>
        </w:rPr>
        <w:t xml:space="preserve">, 2016). Η πρόταση απορρέει από το αίτημα των γυναικών οι υπηρεσίες να λειτουργούν με </w:t>
      </w:r>
      <w:r>
        <w:rPr>
          <w:i/>
          <w:lang w:val="el-GR"/>
        </w:rPr>
        <w:t>«όχι έναν ανταγωνισμό, έναν συναγωνισμό»</w:t>
      </w:r>
      <w:r>
        <w:rPr>
          <w:lang w:val="el-GR"/>
        </w:rPr>
        <w:t xml:space="preserve"> (Σ12).</w:t>
      </w:r>
    </w:p>
    <w:p w14:paraId="099AED39" w14:textId="77777777" w:rsidR="00E63D5B" w:rsidRPr="00CF1F5D" w:rsidRDefault="001F059D">
      <w:pPr>
        <w:rPr>
          <w:lang w:val="el-GR"/>
        </w:rPr>
      </w:pPr>
      <w:r>
        <w:rPr>
          <w:b/>
          <w:bCs/>
          <w:lang w:val="el-GR"/>
        </w:rPr>
        <w:t>Επάρκεια, χρόνος και ποιότητα.</w:t>
      </w:r>
      <w:r>
        <w:rPr>
          <w:lang w:val="el-GR"/>
        </w:rPr>
        <w:t xml:space="preserve"> Σταθερή χρηματοδότηση των δομών, μείωση των λιστών αναμονής στην ψυχική υγεία, επαρκής στελέχωση, δυνατότητα εναλλακτικής επιλογής επαγγελματία, και πρόσβαση και των ανδρών-θυμάτων σε εξειδικευμένες υπηρεσίες. </w:t>
      </w:r>
      <w:r w:rsidRPr="009C3AC6">
        <w:rPr>
          <w:lang w:val="el-GR"/>
        </w:rPr>
        <w:t>Η πρόταση προκύπτει από τις αναφορές των γυναικών σε λίστες αναμονής «οκτώ μήνες, δέκα μήνες» στις υπηρεσίες ψυχικής υγείας και στις δομές στις οποίες απευθύνονται, ακόμη και για κάποιον «που καίγεται με κρίση πανικού» (Σ1), και σε «</w:t>
      </w:r>
      <w:proofErr w:type="spellStart"/>
      <w:r w:rsidRPr="009C3AC6">
        <w:rPr>
          <w:lang w:val="el-GR"/>
        </w:rPr>
        <w:t>διεκπεραιωτική</w:t>
      </w:r>
      <w:proofErr w:type="spellEnd"/>
      <w:r w:rsidRPr="009C3AC6">
        <w:rPr>
          <w:lang w:val="el-GR"/>
        </w:rPr>
        <w:t>» αντιμετώπιση από τους/τις επαγγελματίες των δομών υποστήριξης (Σ11</w:t>
      </w:r>
      <w:r w:rsidRPr="00CF1F5D">
        <w:rPr>
          <w:lang w:val="el-GR"/>
        </w:rPr>
        <w:t>).</w:t>
      </w:r>
    </w:p>
    <w:p w14:paraId="178B46B4" w14:textId="77777777" w:rsidR="00E63D5B" w:rsidRPr="00132066" w:rsidRDefault="001F059D">
      <w:pPr>
        <w:pStyle w:val="20"/>
        <w:rPr>
          <w:lang w:val="el-GR"/>
        </w:rPr>
      </w:pPr>
      <w:bookmarkStart w:id="80" w:name="_Toc242134485"/>
      <w:r>
        <w:rPr>
          <w:lang w:val="el-GR"/>
        </w:rPr>
        <w:t>10.6 Για το σχολείο και την κοινότητα</w:t>
      </w:r>
      <w:bookmarkEnd w:id="80"/>
    </w:p>
    <w:p w14:paraId="55241432" w14:textId="77777777" w:rsidR="00E63D5B" w:rsidRPr="00132066" w:rsidRDefault="001F059D">
      <w:pPr>
        <w:rPr>
          <w:lang w:val="el-GR"/>
        </w:rPr>
      </w:pPr>
      <w:r>
        <w:rPr>
          <w:lang w:val="el-GR"/>
        </w:rPr>
        <w:t xml:space="preserve">Επαναλαμβανόμενα και αναπτυξιακά διαβαθμισμένα σχολικά προγράμματα, από την πρωτοβάθμια έως την τριτοβάθμια εκπαίδευση, για την ισότητα των φύλων, τη συναίνεση, τα προσωπικά όρια, την αναγνώριση της ψυχολογικής, οικονομικής και ψηφιακής βίας, την αμφισβήτηση της </w:t>
      </w:r>
      <w:proofErr w:type="spellStart"/>
      <w:r>
        <w:rPr>
          <w:lang w:val="el-GR"/>
        </w:rPr>
        <w:t>κανονικοποίησης</w:t>
      </w:r>
      <w:proofErr w:type="spellEnd"/>
      <w:r>
        <w:rPr>
          <w:lang w:val="el-GR"/>
        </w:rPr>
        <w:t xml:space="preserve"> του ελέγχου και της «γοητείας» της βίαιης αρρενωπότητας, την ασφαλή αναζήτηση βοήθειας και τη μη βίαιη επίλυση συγκρούσεων. Τα προγράμματα να είναι βιωματικά, να εμπλέκουν αγόρια και κορίτσια, να συνοδεύονται από εκπαιδευμένους/ες σχολικούς/</w:t>
      </w:r>
      <w:proofErr w:type="spellStart"/>
      <w:r>
        <w:rPr>
          <w:lang w:val="el-GR"/>
        </w:rPr>
        <w:t>ές</w:t>
      </w:r>
      <w:proofErr w:type="spellEnd"/>
      <w:r>
        <w:rPr>
          <w:lang w:val="el-GR"/>
        </w:rPr>
        <w:t xml:space="preserve"> ψυχολόγους και σαφή πρωτόκολλα αποκάλυψης και παραπομπής, ώστε το σχολείο να λειτουργεί ως ασφαλής τόπος αποκάλυψης και όχι ως χώρος στιγματισμού (</w:t>
      </w:r>
      <w:r>
        <w:t>Ullman</w:t>
      </w:r>
      <w:r>
        <w:rPr>
          <w:lang w:val="el-GR"/>
        </w:rPr>
        <w:t xml:space="preserve"> </w:t>
      </w:r>
      <w:r>
        <w:t>et</w:t>
      </w:r>
      <w:r>
        <w:rPr>
          <w:lang w:val="el-GR"/>
        </w:rPr>
        <w:t xml:space="preserve"> </w:t>
      </w:r>
      <w:r>
        <w:t>al</w:t>
      </w:r>
      <w:r>
        <w:rPr>
          <w:lang w:val="el-GR"/>
        </w:rPr>
        <w:t xml:space="preserve">., 2025· </w:t>
      </w:r>
      <w:r>
        <w:t>WHO</w:t>
      </w:r>
      <w:r>
        <w:rPr>
          <w:lang w:val="el-GR"/>
        </w:rPr>
        <w:t xml:space="preserve">, 2019). Δράσεις ευαισθητοποίησης της κοινότητας απέναντι στην αδιαφορία του κοινωνικού περίγυρου και των παθητικών παρατηρητών/τριών (όπως η αδιαφορία των γειτόνων που περιγράφουν οι γυναίκες), η οποία λειτουργεί ως κοινωνική αδράνεια που διαιωνίζει τη βία. Η πρόταση θεμελιώνεται στο Θέμα 9, στο αίτημα να υπάρχουν </w:t>
      </w:r>
      <w:r>
        <w:rPr>
          <w:i/>
          <w:lang w:val="el-GR"/>
        </w:rPr>
        <w:t>«τρεις ψυχολόγοι σε κάθε σχολείο»</w:t>
      </w:r>
      <w:r>
        <w:rPr>
          <w:lang w:val="el-GR"/>
        </w:rPr>
        <w:t xml:space="preserve"> και στο εύρημα της </w:t>
      </w:r>
      <w:proofErr w:type="spellStart"/>
      <w:r>
        <w:rPr>
          <w:lang w:val="el-GR"/>
        </w:rPr>
        <w:t>κανονικοποίησης</w:t>
      </w:r>
      <w:proofErr w:type="spellEnd"/>
      <w:r>
        <w:rPr>
          <w:lang w:val="el-GR"/>
        </w:rPr>
        <w:t xml:space="preserve"> του «οικείου» (Θέμα 4).</w:t>
      </w:r>
    </w:p>
    <w:p w14:paraId="6427B3D4" w14:textId="77777777" w:rsidR="00E63D5B" w:rsidRPr="00132066" w:rsidRDefault="001F059D">
      <w:pPr>
        <w:pStyle w:val="20"/>
        <w:rPr>
          <w:lang w:val="el-GR"/>
        </w:rPr>
      </w:pPr>
      <w:bookmarkStart w:id="81" w:name="_Toc242134486"/>
      <w:r>
        <w:rPr>
          <w:lang w:val="el-GR"/>
        </w:rPr>
        <w:lastRenderedPageBreak/>
        <w:t>10.7 Προτάσεις πολιτικής σε εθνικό επίπεδο</w:t>
      </w:r>
      <w:bookmarkEnd w:id="81"/>
    </w:p>
    <w:p w14:paraId="622ABAE8" w14:textId="11ECD8DD" w:rsidR="00E63D5B" w:rsidRPr="00132066" w:rsidRDefault="001F059D">
      <w:pPr>
        <w:keepNext/>
        <w:spacing w:after="60"/>
        <w:jc w:val="left"/>
        <w:rPr>
          <w:lang w:val="el-GR"/>
        </w:rPr>
      </w:pPr>
      <w:r>
        <w:rPr>
          <w:b/>
          <w:bCs/>
          <w:color w:val="1D2B44"/>
          <w:sz w:val="20"/>
          <w:szCs w:val="20"/>
          <w:lang w:val="el-GR"/>
        </w:rPr>
        <w:t xml:space="preserve">Πίνακας </w:t>
      </w:r>
      <w:r w:rsidR="00EB7D96">
        <w:rPr>
          <w:b/>
          <w:bCs/>
          <w:color w:val="1D2B44"/>
          <w:sz w:val="20"/>
          <w:szCs w:val="20"/>
          <w:lang w:val="el-GR"/>
        </w:rPr>
        <w:t>10</w:t>
      </w:r>
      <w:r>
        <w:rPr>
          <w:b/>
          <w:bCs/>
          <w:color w:val="1D2B44"/>
          <w:sz w:val="20"/>
          <w:szCs w:val="20"/>
          <w:lang w:val="el-GR"/>
        </w:rPr>
        <w:t xml:space="preserve">. </w:t>
      </w:r>
      <w:r>
        <w:rPr>
          <w:i/>
          <w:iCs/>
          <w:color w:val="1D2B44"/>
          <w:sz w:val="20"/>
          <w:szCs w:val="20"/>
          <w:lang w:val="el-GR"/>
        </w:rPr>
        <w:t>Προτάσεις πολιτικής, αρμόδιοι φορείς και αναμενόμενο όφελος</w:t>
      </w:r>
    </w:p>
    <w:tbl>
      <w:tblPr>
        <w:tblStyle w:val="afff6"/>
        <w:tblW w:w="9072" w:type="dxa"/>
        <w:jc w:val="center"/>
        <w:tblLayout w:type="fixed"/>
        <w:tblLook w:val="0400" w:firstRow="0" w:lastRow="0" w:firstColumn="0" w:lastColumn="0" w:noHBand="0" w:noVBand="1"/>
      </w:tblPr>
      <w:tblGrid>
        <w:gridCol w:w="3024"/>
        <w:gridCol w:w="3024"/>
        <w:gridCol w:w="3024"/>
      </w:tblGrid>
      <w:tr w:rsidR="00E63D5B" w14:paraId="654D3A40" w14:textId="77777777">
        <w:trPr>
          <w:cantSplit/>
          <w:tblHeader/>
          <w:jc w:val="center"/>
        </w:trPr>
        <w:tc>
          <w:tcPr>
            <w:tcW w:w="3024" w:type="dxa"/>
            <w:tcBorders>
              <w:top w:val="single" w:sz="4" w:space="0" w:color="BFBFBF"/>
              <w:left w:val="single" w:sz="4" w:space="0" w:color="BFBFBF"/>
              <w:bottom w:val="single" w:sz="4" w:space="0" w:color="BFBFBF"/>
              <w:right w:val="single" w:sz="4" w:space="0" w:color="BFBFBF"/>
            </w:tcBorders>
            <w:shd w:val="clear" w:color="auto" w:fill="4A6FA5"/>
          </w:tcPr>
          <w:p w14:paraId="1C514FE4" w14:textId="77777777" w:rsidR="00E63D5B" w:rsidRDefault="001F059D">
            <w:pPr>
              <w:spacing w:after="40" w:line="240" w:lineRule="auto"/>
              <w:jc w:val="left"/>
            </w:pPr>
            <w:proofErr w:type="spellStart"/>
            <w:r>
              <w:rPr>
                <w:b/>
                <w:bCs/>
                <w:color w:val="FFFFFF"/>
                <w:sz w:val="19"/>
                <w:szCs w:val="19"/>
              </w:rPr>
              <w:t>Πρότ</w:t>
            </w:r>
            <w:proofErr w:type="spellEnd"/>
            <w:r>
              <w:rPr>
                <w:b/>
                <w:bCs/>
                <w:color w:val="FFFFFF"/>
                <w:sz w:val="19"/>
                <w:szCs w:val="19"/>
              </w:rPr>
              <w:t>αση</w:t>
            </w:r>
          </w:p>
        </w:tc>
        <w:tc>
          <w:tcPr>
            <w:tcW w:w="3024" w:type="dxa"/>
            <w:tcBorders>
              <w:top w:val="single" w:sz="4" w:space="0" w:color="BFBFBF"/>
              <w:left w:val="single" w:sz="4" w:space="0" w:color="BFBFBF"/>
              <w:bottom w:val="single" w:sz="4" w:space="0" w:color="BFBFBF"/>
              <w:right w:val="single" w:sz="4" w:space="0" w:color="BFBFBF"/>
            </w:tcBorders>
            <w:shd w:val="clear" w:color="auto" w:fill="4A6FA5"/>
          </w:tcPr>
          <w:p w14:paraId="7672B019" w14:textId="77777777" w:rsidR="00E63D5B" w:rsidRDefault="001F059D">
            <w:pPr>
              <w:spacing w:after="40" w:line="240" w:lineRule="auto"/>
              <w:jc w:val="left"/>
            </w:pPr>
            <w:proofErr w:type="spellStart"/>
            <w:r>
              <w:rPr>
                <w:b/>
                <w:bCs/>
                <w:color w:val="FFFFFF"/>
                <w:sz w:val="19"/>
                <w:szCs w:val="19"/>
              </w:rPr>
              <w:t>Περιγρ</w:t>
            </w:r>
            <w:proofErr w:type="spellEnd"/>
            <w:r>
              <w:rPr>
                <w:b/>
                <w:bCs/>
                <w:color w:val="FFFFFF"/>
                <w:sz w:val="19"/>
                <w:szCs w:val="19"/>
              </w:rPr>
              <w:t>αφή</w:t>
            </w:r>
          </w:p>
        </w:tc>
        <w:tc>
          <w:tcPr>
            <w:tcW w:w="3024" w:type="dxa"/>
            <w:tcBorders>
              <w:top w:val="single" w:sz="4" w:space="0" w:color="BFBFBF"/>
              <w:left w:val="single" w:sz="4" w:space="0" w:color="BFBFBF"/>
              <w:bottom w:val="single" w:sz="4" w:space="0" w:color="BFBFBF"/>
              <w:right w:val="single" w:sz="4" w:space="0" w:color="BFBFBF"/>
            </w:tcBorders>
            <w:shd w:val="clear" w:color="auto" w:fill="4A6FA5"/>
          </w:tcPr>
          <w:p w14:paraId="28DA99DB" w14:textId="77777777" w:rsidR="00E63D5B" w:rsidRDefault="001F059D">
            <w:pPr>
              <w:spacing w:after="40" w:line="240" w:lineRule="auto"/>
              <w:jc w:val="left"/>
            </w:pPr>
            <w:proofErr w:type="spellStart"/>
            <w:r>
              <w:rPr>
                <w:b/>
                <w:bCs/>
                <w:color w:val="FFFFFF"/>
                <w:sz w:val="19"/>
                <w:szCs w:val="19"/>
              </w:rPr>
              <w:t>Αν</w:t>
            </w:r>
            <w:proofErr w:type="spellEnd"/>
            <w:r>
              <w:rPr>
                <w:b/>
                <w:bCs/>
                <w:color w:val="FFFFFF"/>
                <w:sz w:val="19"/>
                <w:szCs w:val="19"/>
              </w:rPr>
              <w:t xml:space="preserve">αμενόμενο </w:t>
            </w:r>
            <w:proofErr w:type="spellStart"/>
            <w:r>
              <w:rPr>
                <w:b/>
                <w:bCs/>
                <w:color w:val="FFFFFF"/>
                <w:sz w:val="19"/>
                <w:szCs w:val="19"/>
              </w:rPr>
              <w:t>όφελος</w:t>
            </w:r>
            <w:proofErr w:type="spellEnd"/>
          </w:p>
        </w:tc>
      </w:tr>
      <w:tr w:rsidR="00E63D5B" w:rsidRPr="00D84B1E" w14:paraId="1989EFB7"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tcPr>
          <w:p w14:paraId="5EC0A554" w14:textId="77777777" w:rsidR="00E63D5B" w:rsidRDefault="001F059D">
            <w:pPr>
              <w:spacing w:after="40" w:line="240" w:lineRule="auto"/>
              <w:jc w:val="left"/>
            </w:pPr>
            <w:proofErr w:type="spellStart"/>
            <w:r>
              <w:rPr>
                <w:sz w:val="19"/>
                <w:szCs w:val="19"/>
              </w:rPr>
              <w:t>Εθνικό</w:t>
            </w:r>
            <w:proofErr w:type="spellEnd"/>
            <w:r>
              <w:rPr>
                <w:sz w:val="19"/>
                <w:szCs w:val="19"/>
              </w:rPr>
              <w:t xml:space="preserve"> π</w:t>
            </w:r>
            <w:proofErr w:type="spellStart"/>
            <w:r>
              <w:rPr>
                <w:sz w:val="19"/>
                <w:szCs w:val="19"/>
              </w:rPr>
              <w:t>ρόγρ</w:t>
            </w:r>
            <w:proofErr w:type="spellEnd"/>
            <w:r>
              <w:rPr>
                <w:sz w:val="19"/>
                <w:szCs w:val="19"/>
              </w:rPr>
              <w:t xml:space="preserve">αμμα </w:t>
            </w:r>
            <w:proofErr w:type="spellStart"/>
            <w:r>
              <w:rPr>
                <w:sz w:val="19"/>
                <w:szCs w:val="19"/>
              </w:rPr>
              <w:t>έγκ</w:t>
            </w:r>
            <w:proofErr w:type="spellEnd"/>
            <w:r>
              <w:rPr>
                <w:sz w:val="19"/>
                <w:szCs w:val="19"/>
              </w:rPr>
              <w:t>αιρης α</w:t>
            </w:r>
            <w:proofErr w:type="spellStart"/>
            <w:r>
              <w:rPr>
                <w:sz w:val="19"/>
                <w:szCs w:val="19"/>
              </w:rPr>
              <w:t>νίχνευσης</w:t>
            </w:r>
            <w:proofErr w:type="spellEnd"/>
          </w:p>
        </w:tc>
        <w:tc>
          <w:tcPr>
            <w:tcW w:w="3024" w:type="dxa"/>
            <w:tcBorders>
              <w:top w:val="single" w:sz="4" w:space="0" w:color="BFBFBF"/>
              <w:left w:val="single" w:sz="4" w:space="0" w:color="BFBFBF"/>
              <w:bottom w:val="single" w:sz="4" w:space="0" w:color="BFBFBF"/>
              <w:right w:val="single" w:sz="4" w:space="0" w:color="BFBFBF"/>
            </w:tcBorders>
          </w:tcPr>
          <w:p w14:paraId="1F937FED" w14:textId="77777777" w:rsidR="00E63D5B" w:rsidRPr="00132066" w:rsidRDefault="001F059D">
            <w:pPr>
              <w:spacing w:after="40" w:line="240" w:lineRule="auto"/>
              <w:jc w:val="left"/>
              <w:rPr>
                <w:lang w:val="el-GR"/>
              </w:rPr>
            </w:pPr>
            <w:r>
              <w:rPr>
                <w:sz w:val="19"/>
                <w:szCs w:val="19"/>
                <w:lang w:val="el-GR"/>
              </w:rPr>
              <w:t>Πρωτόκολλο συστηματικού ελέγχου για ενδοοικογενειακή βία σε Πρωτοβάθμια Φροντίδα, Τμήματα Επειγόντων, μαιευτικές/γυναικολογικές κλινικές και υπηρεσίες ψυχικής υγείας, με υποχρεωτική διασύνδεση με παρέμβαση</w:t>
            </w:r>
          </w:p>
        </w:tc>
        <w:tc>
          <w:tcPr>
            <w:tcW w:w="3024" w:type="dxa"/>
            <w:tcBorders>
              <w:top w:val="single" w:sz="4" w:space="0" w:color="BFBFBF"/>
              <w:left w:val="single" w:sz="4" w:space="0" w:color="BFBFBF"/>
              <w:bottom w:val="single" w:sz="4" w:space="0" w:color="BFBFBF"/>
              <w:right w:val="single" w:sz="4" w:space="0" w:color="BFBFBF"/>
            </w:tcBorders>
          </w:tcPr>
          <w:p w14:paraId="789F7CF6" w14:textId="77777777" w:rsidR="00E63D5B" w:rsidRPr="00132066" w:rsidRDefault="001F059D">
            <w:pPr>
              <w:spacing w:after="40" w:line="240" w:lineRule="auto"/>
              <w:jc w:val="left"/>
              <w:rPr>
                <w:lang w:val="el-GR"/>
              </w:rPr>
            </w:pPr>
            <w:r>
              <w:rPr>
                <w:sz w:val="19"/>
                <w:szCs w:val="19"/>
                <w:lang w:val="el-GR"/>
              </w:rPr>
              <w:t>Έγκαιρη προστασία, μείωση των μακροχρόνιων ψυχικών συνεπειών</w:t>
            </w:r>
          </w:p>
        </w:tc>
      </w:tr>
      <w:tr w:rsidR="00E63D5B" w14:paraId="44F7095B"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5BBE0D2E" w14:textId="77777777" w:rsidR="00E63D5B" w:rsidRPr="00132066" w:rsidRDefault="001F059D">
            <w:pPr>
              <w:spacing w:after="40" w:line="240" w:lineRule="auto"/>
              <w:jc w:val="left"/>
              <w:rPr>
                <w:lang w:val="el-GR"/>
              </w:rPr>
            </w:pPr>
            <w:proofErr w:type="spellStart"/>
            <w:r>
              <w:rPr>
                <w:sz w:val="19"/>
                <w:szCs w:val="19"/>
                <w:lang w:val="el-GR"/>
              </w:rPr>
              <w:t>Πολυτομεακό</w:t>
            </w:r>
            <w:proofErr w:type="spellEnd"/>
            <w:r>
              <w:rPr>
                <w:sz w:val="19"/>
                <w:szCs w:val="19"/>
                <w:lang w:val="el-GR"/>
              </w:rPr>
              <w:t xml:space="preserve"> μοντέλο συνεργασίας σε κάθε Περιφέρεια</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250C856A" w14:textId="77777777" w:rsidR="00E63D5B" w:rsidRPr="00132066" w:rsidRDefault="001F059D">
            <w:pPr>
              <w:spacing w:after="40" w:line="240" w:lineRule="auto"/>
              <w:jc w:val="left"/>
              <w:rPr>
                <w:lang w:val="el-GR"/>
              </w:rPr>
            </w:pPr>
            <w:r>
              <w:rPr>
                <w:sz w:val="19"/>
                <w:szCs w:val="19"/>
                <w:lang w:val="el-GR"/>
              </w:rPr>
              <w:t xml:space="preserve">Κοινά πρωτόκολλα αστυνομίας, δικαιοσύνης, υγείας, ΚΕΘΙ, ΕΚΚΑ, δήμων και παιδικής προστασίας, με βάση την εμπειρία του </w:t>
            </w:r>
            <w:r>
              <w:rPr>
                <w:sz w:val="19"/>
                <w:szCs w:val="19"/>
              </w:rPr>
              <w:t>ARIADNE</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6C66F5F8" w14:textId="77777777" w:rsidR="00E63D5B" w:rsidRDefault="001F059D">
            <w:pPr>
              <w:spacing w:after="40" w:line="240" w:lineRule="auto"/>
              <w:jc w:val="left"/>
            </w:pPr>
            <w:proofErr w:type="spellStart"/>
            <w:r>
              <w:rPr>
                <w:sz w:val="19"/>
                <w:szCs w:val="19"/>
              </w:rPr>
              <w:t>Μείωση</w:t>
            </w:r>
            <w:proofErr w:type="spellEnd"/>
            <w:r>
              <w:rPr>
                <w:sz w:val="19"/>
                <w:szCs w:val="19"/>
              </w:rPr>
              <w:t xml:space="preserve"> επανα</w:t>
            </w:r>
            <w:proofErr w:type="spellStart"/>
            <w:r>
              <w:rPr>
                <w:sz w:val="19"/>
                <w:szCs w:val="19"/>
              </w:rPr>
              <w:t>θυμ</w:t>
            </w:r>
            <w:proofErr w:type="spellEnd"/>
            <w:r>
              <w:rPr>
                <w:sz w:val="19"/>
                <w:szCs w:val="19"/>
              </w:rPr>
              <w:t xml:space="preserve">ατοποίησης, </w:t>
            </w:r>
            <w:proofErr w:type="spellStart"/>
            <w:r>
              <w:rPr>
                <w:sz w:val="19"/>
                <w:szCs w:val="19"/>
              </w:rPr>
              <w:t>συνέχει</w:t>
            </w:r>
            <w:proofErr w:type="spellEnd"/>
            <w:r>
              <w:rPr>
                <w:sz w:val="19"/>
                <w:szCs w:val="19"/>
              </w:rPr>
              <w:t xml:space="preserve">α </w:t>
            </w:r>
            <w:proofErr w:type="spellStart"/>
            <w:r>
              <w:rPr>
                <w:sz w:val="19"/>
                <w:szCs w:val="19"/>
              </w:rPr>
              <w:t>φροντίδ</w:t>
            </w:r>
            <w:proofErr w:type="spellEnd"/>
            <w:r>
              <w:rPr>
                <w:sz w:val="19"/>
                <w:szCs w:val="19"/>
              </w:rPr>
              <w:t>ας</w:t>
            </w:r>
          </w:p>
        </w:tc>
      </w:tr>
      <w:tr w:rsidR="00E63D5B" w:rsidRPr="00D84B1E" w14:paraId="5C05C1FE"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tcPr>
          <w:p w14:paraId="542EAF04" w14:textId="77777777" w:rsidR="00E63D5B" w:rsidRPr="00132066" w:rsidRDefault="001F059D">
            <w:pPr>
              <w:spacing w:after="40" w:line="240" w:lineRule="auto"/>
              <w:jc w:val="left"/>
              <w:rPr>
                <w:lang w:val="el-GR"/>
              </w:rPr>
            </w:pPr>
            <w:r>
              <w:rPr>
                <w:sz w:val="19"/>
                <w:szCs w:val="19"/>
                <w:lang w:val="el-GR"/>
              </w:rPr>
              <w:t>Ενίσχυση του ΚΕΘΙ ως εθνικού κέντρου αναφοράς</w:t>
            </w:r>
          </w:p>
        </w:tc>
        <w:tc>
          <w:tcPr>
            <w:tcW w:w="3024" w:type="dxa"/>
            <w:tcBorders>
              <w:top w:val="single" w:sz="4" w:space="0" w:color="BFBFBF"/>
              <w:left w:val="single" w:sz="4" w:space="0" w:color="BFBFBF"/>
              <w:bottom w:val="single" w:sz="4" w:space="0" w:color="BFBFBF"/>
              <w:right w:val="single" w:sz="4" w:space="0" w:color="BFBFBF"/>
            </w:tcBorders>
          </w:tcPr>
          <w:p w14:paraId="1DFD06D2" w14:textId="77777777" w:rsidR="00E63D5B" w:rsidRPr="00132066" w:rsidRDefault="001F059D">
            <w:pPr>
              <w:spacing w:after="40" w:line="240" w:lineRule="auto"/>
              <w:jc w:val="left"/>
              <w:rPr>
                <w:lang w:val="el-GR"/>
              </w:rPr>
            </w:pPr>
            <w:r>
              <w:rPr>
                <w:sz w:val="19"/>
                <w:szCs w:val="19"/>
                <w:lang w:val="el-GR"/>
              </w:rPr>
              <w:t xml:space="preserve">Πιστοποιημένα προγράμματα εκπαίδευσης επαγγελματιών, τακτική εποπτεία, </w:t>
            </w:r>
            <w:proofErr w:type="spellStart"/>
            <w:r>
              <w:rPr>
                <w:sz w:val="19"/>
                <w:szCs w:val="19"/>
                <w:lang w:val="el-GR"/>
              </w:rPr>
              <w:t>επαναπιστοποίηση</w:t>
            </w:r>
            <w:proofErr w:type="spellEnd"/>
            <w:r>
              <w:rPr>
                <w:sz w:val="19"/>
                <w:szCs w:val="19"/>
                <w:lang w:val="el-GR"/>
              </w:rPr>
              <w:t xml:space="preserve"> και έλεγχοι εφαρμογής της ενήμερης ως προς το τραύμα φροντίδας</w:t>
            </w:r>
          </w:p>
        </w:tc>
        <w:tc>
          <w:tcPr>
            <w:tcW w:w="3024" w:type="dxa"/>
            <w:tcBorders>
              <w:top w:val="single" w:sz="4" w:space="0" w:color="BFBFBF"/>
              <w:left w:val="single" w:sz="4" w:space="0" w:color="BFBFBF"/>
              <w:bottom w:val="single" w:sz="4" w:space="0" w:color="BFBFBF"/>
              <w:right w:val="single" w:sz="4" w:space="0" w:color="BFBFBF"/>
            </w:tcBorders>
          </w:tcPr>
          <w:p w14:paraId="0EFB5C04" w14:textId="77777777" w:rsidR="00E63D5B" w:rsidRPr="00132066" w:rsidRDefault="001F059D">
            <w:pPr>
              <w:spacing w:after="40" w:line="240" w:lineRule="auto"/>
              <w:jc w:val="left"/>
              <w:rPr>
                <w:lang w:val="el-GR"/>
              </w:rPr>
            </w:pPr>
            <w:r>
              <w:rPr>
                <w:sz w:val="19"/>
                <w:szCs w:val="19"/>
                <w:lang w:val="el-GR"/>
              </w:rPr>
              <w:t xml:space="preserve">Ποιότητα υπηρεσιών, μείωση δευτερογενούς </w:t>
            </w:r>
            <w:proofErr w:type="spellStart"/>
            <w:r>
              <w:rPr>
                <w:sz w:val="19"/>
                <w:szCs w:val="19"/>
                <w:lang w:val="el-GR"/>
              </w:rPr>
              <w:t>θυματοποίησης</w:t>
            </w:r>
            <w:proofErr w:type="spellEnd"/>
          </w:p>
        </w:tc>
      </w:tr>
      <w:tr w:rsidR="00E63D5B" w:rsidRPr="00D84B1E" w14:paraId="152DD6A7"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63F0247C" w14:textId="77777777" w:rsidR="00E63D5B" w:rsidRPr="00132066" w:rsidRDefault="001F059D">
            <w:pPr>
              <w:spacing w:after="40" w:line="240" w:lineRule="auto"/>
              <w:jc w:val="left"/>
              <w:rPr>
                <w:lang w:val="el-GR"/>
              </w:rPr>
            </w:pPr>
            <w:r>
              <w:rPr>
                <w:sz w:val="19"/>
                <w:szCs w:val="19"/>
                <w:lang w:val="el-GR"/>
              </w:rPr>
              <w:t>Εθνικό Παρατηρητήριο για την Έμφυλη Βία</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0EB48284" w14:textId="77777777" w:rsidR="00E63D5B" w:rsidRPr="00132066" w:rsidRDefault="001F059D">
            <w:pPr>
              <w:spacing w:after="40" w:line="240" w:lineRule="auto"/>
              <w:jc w:val="left"/>
              <w:rPr>
                <w:lang w:val="el-GR"/>
              </w:rPr>
            </w:pPr>
            <w:r>
              <w:rPr>
                <w:sz w:val="19"/>
                <w:szCs w:val="19"/>
                <w:lang w:val="el-GR"/>
              </w:rPr>
              <w:t xml:space="preserve">Ενιαίος μηχανισμός συλλογής και διασύνδεσης </w:t>
            </w:r>
            <w:proofErr w:type="spellStart"/>
            <w:r>
              <w:rPr>
                <w:sz w:val="19"/>
                <w:szCs w:val="19"/>
                <w:lang w:val="el-GR"/>
              </w:rPr>
              <w:t>ανωνυμοποιημένων</w:t>
            </w:r>
            <w:proofErr w:type="spellEnd"/>
            <w:r>
              <w:rPr>
                <w:sz w:val="19"/>
                <w:szCs w:val="19"/>
                <w:lang w:val="el-GR"/>
              </w:rPr>
              <w:t xml:space="preserve"> δεδομένων, με κοινό λεξιλόγιο και διακριτή καταγραφή της σχέσης δράστη–επιζώσας, των μορφών βίας, του εξαναγκαστικού ελέγχου, της βίας μετά τον χωρισμό και της έκθεσης των παιδιών</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3DFFB0C9" w14:textId="1311A85B" w:rsidR="00E63D5B" w:rsidRPr="00132066" w:rsidRDefault="001F059D">
            <w:pPr>
              <w:spacing w:after="40" w:line="240" w:lineRule="auto"/>
              <w:jc w:val="left"/>
              <w:rPr>
                <w:lang w:val="el-GR"/>
              </w:rPr>
            </w:pPr>
            <w:r>
              <w:rPr>
                <w:sz w:val="19"/>
                <w:szCs w:val="19"/>
                <w:lang w:val="el-GR"/>
              </w:rPr>
              <w:t xml:space="preserve">Τεκμηριωμένος σχεδιασμός πολιτικών ανταπόκριση στις συστάσεις </w:t>
            </w:r>
            <w:r>
              <w:rPr>
                <w:sz w:val="19"/>
                <w:szCs w:val="19"/>
              </w:rPr>
              <w:t>GREVIO</w:t>
            </w:r>
            <w:r>
              <w:rPr>
                <w:sz w:val="19"/>
                <w:szCs w:val="19"/>
                <w:lang w:val="el-GR"/>
              </w:rPr>
              <w:t xml:space="preserve"> και Οδηγίας 2024/1385</w:t>
            </w:r>
          </w:p>
        </w:tc>
      </w:tr>
      <w:tr w:rsidR="00E63D5B" w:rsidRPr="00D84B1E" w14:paraId="42537FA4"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tcPr>
          <w:p w14:paraId="1A909106" w14:textId="77777777" w:rsidR="00E63D5B" w:rsidRDefault="001F059D">
            <w:pPr>
              <w:spacing w:after="40" w:line="240" w:lineRule="auto"/>
              <w:jc w:val="left"/>
            </w:pPr>
            <w:proofErr w:type="spellStart"/>
            <w:r>
              <w:rPr>
                <w:sz w:val="19"/>
                <w:szCs w:val="19"/>
              </w:rPr>
              <w:t>Εξειδικευμένες</w:t>
            </w:r>
            <w:proofErr w:type="spellEnd"/>
            <w:r>
              <w:rPr>
                <w:sz w:val="19"/>
                <w:szCs w:val="19"/>
              </w:rPr>
              <w:t xml:space="preserve"> </w:t>
            </w:r>
            <w:proofErr w:type="spellStart"/>
            <w:r>
              <w:rPr>
                <w:sz w:val="19"/>
                <w:szCs w:val="19"/>
              </w:rPr>
              <w:t>Μονάδες</w:t>
            </w:r>
            <w:proofErr w:type="spellEnd"/>
            <w:r>
              <w:rPr>
                <w:sz w:val="19"/>
                <w:szCs w:val="19"/>
              </w:rPr>
              <w:t xml:space="preserve"> </w:t>
            </w:r>
            <w:proofErr w:type="spellStart"/>
            <w:r>
              <w:rPr>
                <w:sz w:val="19"/>
                <w:szCs w:val="19"/>
              </w:rPr>
              <w:t>Ψυχικού</w:t>
            </w:r>
            <w:proofErr w:type="spellEnd"/>
            <w:r>
              <w:rPr>
                <w:sz w:val="19"/>
                <w:szCs w:val="19"/>
              </w:rPr>
              <w:t xml:space="preserve"> </w:t>
            </w:r>
            <w:proofErr w:type="spellStart"/>
            <w:r>
              <w:rPr>
                <w:sz w:val="19"/>
                <w:szCs w:val="19"/>
              </w:rPr>
              <w:t>Τρ</w:t>
            </w:r>
            <w:proofErr w:type="spellEnd"/>
            <w:r>
              <w:rPr>
                <w:sz w:val="19"/>
                <w:szCs w:val="19"/>
              </w:rPr>
              <w:t>αύματος</w:t>
            </w:r>
          </w:p>
        </w:tc>
        <w:tc>
          <w:tcPr>
            <w:tcW w:w="3024" w:type="dxa"/>
            <w:tcBorders>
              <w:top w:val="single" w:sz="4" w:space="0" w:color="BFBFBF"/>
              <w:left w:val="single" w:sz="4" w:space="0" w:color="BFBFBF"/>
              <w:bottom w:val="single" w:sz="4" w:space="0" w:color="BFBFBF"/>
              <w:right w:val="single" w:sz="4" w:space="0" w:color="BFBFBF"/>
            </w:tcBorders>
          </w:tcPr>
          <w:p w14:paraId="37184A2E" w14:textId="77777777" w:rsidR="00E63D5B" w:rsidRPr="00132066" w:rsidRDefault="001F059D">
            <w:pPr>
              <w:spacing w:after="40" w:line="240" w:lineRule="auto"/>
              <w:jc w:val="left"/>
              <w:rPr>
                <w:lang w:val="el-GR"/>
              </w:rPr>
            </w:pPr>
            <w:r>
              <w:rPr>
                <w:sz w:val="19"/>
                <w:szCs w:val="19"/>
                <w:lang w:val="el-GR"/>
              </w:rPr>
              <w:t>Διεπιστημονικές μονάδες σε δημόσια νοσοκομεία και Κέντρα Ψυχικής Υγείας, με ατομικές θεραπείες εστιασμένες στο τραύμα και δυαδικές παρεμβάσεις μητέρας–παιδιού</w:t>
            </w:r>
          </w:p>
        </w:tc>
        <w:tc>
          <w:tcPr>
            <w:tcW w:w="3024" w:type="dxa"/>
            <w:tcBorders>
              <w:top w:val="single" w:sz="4" w:space="0" w:color="BFBFBF"/>
              <w:left w:val="single" w:sz="4" w:space="0" w:color="BFBFBF"/>
              <w:bottom w:val="single" w:sz="4" w:space="0" w:color="BFBFBF"/>
              <w:right w:val="single" w:sz="4" w:space="0" w:color="BFBFBF"/>
            </w:tcBorders>
          </w:tcPr>
          <w:p w14:paraId="39E286A0" w14:textId="77777777" w:rsidR="00E63D5B" w:rsidRPr="00132066" w:rsidRDefault="001F059D">
            <w:pPr>
              <w:spacing w:after="40" w:line="240" w:lineRule="auto"/>
              <w:jc w:val="left"/>
              <w:rPr>
                <w:lang w:val="el-GR"/>
              </w:rPr>
            </w:pPr>
            <w:r>
              <w:rPr>
                <w:sz w:val="19"/>
                <w:szCs w:val="19"/>
                <w:lang w:val="el-GR"/>
              </w:rPr>
              <w:t>Απάντηση στο 62,7% πιθανής ΔΜΤΣ και 42,6% πιθανής κατάθλιψης</w:t>
            </w:r>
          </w:p>
        </w:tc>
      </w:tr>
      <w:tr w:rsidR="00E63D5B" w:rsidRPr="00D84B1E" w14:paraId="74B1B5E9"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1854966A" w14:textId="77777777" w:rsidR="00E63D5B" w:rsidRDefault="001F059D">
            <w:pPr>
              <w:spacing w:after="40" w:line="240" w:lineRule="auto"/>
              <w:jc w:val="left"/>
            </w:pPr>
            <w:proofErr w:type="spellStart"/>
            <w:r>
              <w:rPr>
                <w:sz w:val="19"/>
                <w:szCs w:val="19"/>
              </w:rPr>
              <w:t>Δι</w:t>
            </w:r>
            <w:proofErr w:type="spellEnd"/>
            <w:r>
              <w:rPr>
                <w:sz w:val="19"/>
                <w:szCs w:val="19"/>
              </w:rPr>
              <w:t xml:space="preserve">αδρομή </w:t>
            </w:r>
            <w:proofErr w:type="spellStart"/>
            <w:r>
              <w:rPr>
                <w:sz w:val="19"/>
                <w:szCs w:val="19"/>
              </w:rPr>
              <w:t>φροντίδ</w:t>
            </w:r>
            <w:proofErr w:type="spellEnd"/>
            <w:r>
              <w:rPr>
                <w:sz w:val="19"/>
                <w:szCs w:val="19"/>
              </w:rPr>
              <w:t xml:space="preserve">ας </w:t>
            </w:r>
            <w:proofErr w:type="spellStart"/>
            <w:r>
              <w:rPr>
                <w:sz w:val="19"/>
                <w:szCs w:val="19"/>
              </w:rPr>
              <w:t>μητέρ</w:t>
            </w:r>
            <w:proofErr w:type="spellEnd"/>
            <w:r>
              <w:rPr>
                <w:sz w:val="19"/>
                <w:szCs w:val="19"/>
              </w:rPr>
              <w:t>ας–παιδιού</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001B2033" w14:textId="77777777" w:rsidR="00E63D5B" w:rsidRPr="00132066" w:rsidRDefault="001F059D">
            <w:pPr>
              <w:spacing w:after="40" w:line="240" w:lineRule="auto"/>
              <w:jc w:val="left"/>
              <w:rPr>
                <w:lang w:val="el-GR"/>
              </w:rPr>
            </w:pPr>
            <w:r>
              <w:rPr>
                <w:sz w:val="19"/>
                <w:szCs w:val="19"/>
                <w:lang w:val="el-GR"/>
              </w:rPr>
              <w:t xml:space="preserve">Ανεξάρτητη αξιολόγηση του παιδιού, ατομική θεραπεία μητέρας και παιδιού, </w:t>
            </w:r>
            <w:r>
              <w:rPr>
                <w:sz w:val="19"/>
                <w:szCs w:val="19"/>
              </w:rPr>
              <w:t>CPP</w:t>
            </w:r>
            <w:r>
              <w:rPr>
                <w:sz w:val="19"/>
                <w:szCs w:val="19"/>
                <w:lang w:val="el-GR"/>
              </w:rPr>
              <w:t xml:space="preserve">, προσαρμοσμένη </w:t>
            </w:r>
            <w:r>
              <w:rPr>
                <w:sz w:val="19"/>
                <w:szCs w:val="19"/>
              </w:rPr>
              <w:t>PCIT</w:t>
            </w:r>
            <w:r>
              <w:rPr>
                <w:sz w:val="19"/>
                <w:szCs w:val="19"/>
                <w:lang w:val="el-GR"/>
              </w:rPr>
              <w:t xml:space="preserve">, θετική και </w:t>
            </w:r>
            <w:proofErr w:type="spellStart"/>
            <w:r>
              <w:rPr>
                <w:sz w:val="19"/>
                <w:szCs w:val="19"/>
                <w:lang w:val="el-GR"/>
              </w:rPr>
              <w:t>αναστοχαστική</w:t>
            </w:r>
            <w:proofErr w:type="spellEnd"/>
            <w:r>
              <w:rPr>
                <w:sz w:val="19"/>
                <w:szCs w:val="19"/>
                <w:lang w:val="el-GR"/>
              </w:rPr>
              <w:t xml:space="preserve"> γονεϊκότητα, σε ξενώνες, Συμβουλευτικά Κέντρα, Κέντρα Ψυχικής Υγείας και </w:t>
            </w:r>
            <w:proofErr w:type="spellStart"/>
            <w:r>
              <w:rPr>
                <w:sz w:val="19"/>
                <w:szCs w:val="19"/>
                <w:lang w:val="el-GR"/>
              </w:rPr>
              <w:t>παιδοψυχιατρικές</w:t>
            </w:r>
            <w:proofErr w:type="spellEnd"/>
            <w:r>
              <w:rPr>
                <w:sz w:val="19"/>
                <w:szCs w:val="19"/>
                <w:lang w:val="el-GR"/>
              </w:rPr>
              <w:t xml:space="preserve"> υπηρεσίες</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2BAF0724" w14:textId="77777777" w:rsidR="00E63D5B" w:rsidRPr="00132066" w:rsidRDefault="001F059D">
            <w:pPr>
              <w:spacing w:after="40" w:line="240" w:lineRule="auto"/>
              <w:jc w:val="left"/>
              <w:rPr>
                <w:lang w:val="el-GR"/>
              </w:rPr>
            </w:pPr>
            <w:r>
              <w:rPr>
                <w:sz w:val="19"/>
                <w:szCs w:val="19"/>
                <w:lang w:val="el-GR"/>
              </w:rPr>
              <w:t xml:space="preserve">Διακοπή της </w:t>
            </w:r>
            <w:proofErr w:type="spellStart"/>
            <w:r>
              <w:rPr>
                <w:sz w:val="19"/>
                <w:szCs w:val="19"/>
                <w:lang w:val="el-GR"/>
              </w:rPr>
              <w:t>διαγενεακής</w:t>
            </w:r>
            <w:proofErr w:type="spellEnd"/>
            <w:r>
              <w:rPr>
                <w:sz w:val="19"/>
                <w:szCs w:val="19"/>
                <w:lang w:val="el-GR"/>
              </w:rPr>
              <w:t xml:space="preserve"> μετάδοσης χωρίς μητρική ενοχοποίηση</w:t>
            </w:r>
          </w:p>
        </w:tc>
      </w:tr>
      <w:tr w:rsidR="00E63D5B" w:rsidRPr="00D84B1E" w14:paraId="2659A601"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tcPr>
          <w:p w14:paraId="609C9EF5" w14:textId="77777777" w:rsidR="00E63D5B" w:rsidRDefault="001F059D">
            <w:pPr>
              <w:spacing w:after="40" w:line="240" w:lineRule="auto"/>
              <w:jc w:val="left"/>
            </w:pPr>
            <w:proofErr w:type="spellStart"/>
            <w:r>
              <w:rPr>
                <w:sz w:val="19"/>
                <w:szCs w:val="19"/>
              </w:rPr>
              <w:t>Αξιολόγηση</w:t>
            </w:r>
            <w:proofErr w:type="spellEnd"/>
            <w:r>
              <w:rPr>
                <w:sz w:val="19"/>
                <w:szCs w:val="19"/>
              </w:rPr>
              <w:t xml:space="preserve"> </w:t>
            </w:r>
            <w:proofErr w:type="spellStart"/>
            <w:r>
              <w:rPr>
                <w:sz w:val="19"/>
                <w:szCs w:val="19"/>
              </w:rPr>
              <w:t>της</w:t>
            </w:r>
            <w:proofErr w:type="spellEnd"/>
            <w:r>
              <w:rPr>
                <w:sz w:val="19"/>
                <w:szCs w:val="19"/>
              </w:rPr>
              <w:t xml:space="preserve"> απ</w:t>
            </w:r>
            <w:proofErr w:type="spellStart"/>
            <w:r>
              <w:rPr>
                <w:sz w:val="19"/>
                <w:szCs w:val="19"/>
              </w:rPr>
              <w:t>οτελεσμ</w:t>
            </w:r>
            <w:proofErr w:type="spellEnd"/>
            <w:r>
              <w:rPr>
                <w:sz w:val="19"/>
                <w:szCs w:val="19"/>
              </w:rPr>
              <w:t>ατικότητας</w:t>
            </w:r>
          </w:p>
        </w:tc>
        <w:tc>
          <w:tcPr>
            <w:tcW w:w="3024" w:type="dxa"/>
            <w:tcBorders>
              <w:top w:val="single" w:sz="4" w:space="0" w:color="BFBFBF"/>
              <w:left w:val="single" w:sz="4" w:space="0" w:color="BFBFBF"/>
              <w:bottom w:val="single" w:sz="4" w:space="0" w:color="BFBFBF"/>
              <w:right w:val="single" w:sz="4" w:space="0" w:color="BFBFBF"/>
            </w:tcBorders>
          </w:tcPr>
          <w:p w14:paraId="738B0BD2" w14:textId="77777777" w:rsidR="00E63D5B" w:rsidRPr="00132066" w:rsidRDefault="001F059D">
            <w:pPr>
              <w:spacing w:after="40" w:line="240" w:lineRule="auto"/>
              <w:jc w:val="left"/>
              <w:rPr>
                <w:lang w:val="el-GR"/>
              </w:rPr>
            </w:pPr>
            <w:r>
              <w:rPr>
                <w:sz w:val="19"/>
                <w:szCs w:val="19"/>
                <w:lang w:val="el-GR"/>
              </w:rPr>
              <w:t>Ελάχιστο κοινό σύνολο δεικτών (πραγματική ασφάλεια, ΔΜΤΣ, κατάθλιψη, ποιότητα ζωής, στεγαστική και οικονομική σταθερότητα, ψυχική υγεία και λειτουργία των παιδιών), μετρούμενο στην είσοδο, την ολοκλήρωση και στους 6, 12 και 24 μήνες, με πολλαπλές πηγές δεδομένων και συμμετοχή επιζωσών στον ορισμό των κριτηρίων</w:t>
            </w:r>
          </w:p>
        </w:tc>
        <w:tc>
          <w:tcPr>
            <w:tcW w:w="3024" w:type="dxa"/>
            <w:tcBorders>
              <w:top w:val="single" w:sz="4" w:space="0" w:color="BFBFBF"/>
              <w:left w:val="single" w:sz="4" w:space="0" w:color="BFBFBF"/>
              <w:bottom w:val="single" w:sz="4" w:space="0" w:color="BFBFBF"/>
              <w:right w:val="single" w:sz="4" w:space="0" w:color="BFBFBF"/>
            </w:tcBorders>
          </w:tcPr>
          <w:p w14:paraId="385169EE" w14:textId="77777777" w:rsidR="00E63D5B" w:rsidRPr="00132066" w:rsidRDefault="001F059D">
            <w:pPr>
              <w:spacing w:after="40" w:line="240" w:lineRule="auto"/>
              <w:jc w:val="left"/>
              <w:rPr>
                <w:lang w:val="el-GR"/>
              </w:rPr>
            </w:pPr>
            <w:r>
              <w:rPr>
                <w:sz w:val="19"/>
                <w:szCs w:val="19"/>
                <w:lang w:val="el-GR"/>
              </w:rPr>
              <w:t>Γνώση για το τι λειτουργεί στο ελληνικό πλαίσιο</w:t>
            </w:r>
          </w:p>
        </w:tc>
      </w:tr>
      <w:tr w:rsidR="00E63D5B" w14:paraId="67207D53"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58424655" w14:textId="77777777" w:rsidR="00E63D5B" w:rsidRPr="00132066" w:rsidRDefault="001F059D">
            <w:pPr>
              <w:spacing w:after="40" w:line="240" w:lineRule="auto"/>
              <w:jc w:val="left"/>
              <w:rPr>
                <w:lang w:val="el-GR"/>
              </w:rPr>
            </w:pPr>
            <w:r>
              <w:rPr>
                <w:sz w:val="19"/>
                <w:szCs w:val="19"/>
                <w:lang w:val="el-GR"/>
              </w:rPr>
              <w:lastRenderedPageBreak/>
              <w:t>Εξειδικευμένες υπηρεσίες για μετανάστριες και προσφύγισσες</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01912025" w14:textId="27745625" w:rsidR="00E63D5B" w:rsidRPr="00132066" w:rsidRDefault="001F059D">
            <w:pPr>
              <w:spacing w:after="40" w:line="240" w:lineRule="auto"/>
              <w:jc w:val="left"/>
              <w:rPr>
                <w:lang w:val="el-GR"/>
              </w:rPr>
            </w:pPr>
            <w:r>
              <w:rPr>
                <w:sz w:val="19"/>
                <w:szCs w:val="19"/>
                <w:lang w:val="el-GR"/>
              </w:rPr>
              <w:t>Διαπολιτισμικά προσαρμοσμένες υπηρεσίες στα Συμβουλευτικά Κέντρα, με διερμηνεία, διαμεσολάβηση και αξιολόγηση των ειδικών παραγόντων κινδύνου (καθεστώς διαμονής, εξάρτηση από τον δράστη)·ενσωμάτωση της ψυχικής υγείας των μεταναστριών στις εθνικές στρατηγικές δημόσιας υγείας με διυπουργική συνεργασία</w:t>
            </w:r>
          </w:p>
        </w:tc>
        <w:tc>
          <w:tcPr>
            <w:tcW w:w="3024" w:type="dxa"/>
            <w:tcBorders>
              <w:top w:val="single" w:sz="4" w:space="0" w:color="BFBFBF"/>
              <w:left w:val="single" w:sz="4" w:space="0" w:color="BFBFBF"/>
              <w:bottom w:val="single" w:sz="4" w:space="0" w:color="BFBFBF"/>
              <w:right w:val="single" w:sz="4" w:space="0" w:color="BFBFBF"/>
            </w:tcBorders>
            <w:shd w:val="clear" w:color="auto" w:fill="F3F6FA"/>
          </w:tcPr>
          <w:p w14:paraId="378AE92F" w14:textId="77777777" w:rsidR="00E63D5B" w:rsidRDefault="001F059D">
            <w:pPr>
              <w:spacing w:after="40" w:line="240" w:lineRule="auto"/>
              <w:jc w:val="left"/>
            </w:pPr>
            <w:proofErr w:type="spellStart"/>
            <w:r>
              <w:rPr>
                <w:sz w:val="19"/>
                <w:szCs w:val="19"/>
              </w:rPr>
              <w:t>Ισότιμη</w:t>
            </w:r>
            <w:proofErr w:type="spellEnd"/>
            <w:r>
              <w:rPr>
                <w:sz w:val="19"/>
                <w:szCs w:val="19"/>
              </w:rPr>
              <w:t xml:space="preserve"> π</w:t>
            </w:r>
            <w:proofErr w:type="spellStart"/>
            <w:r>
              <w:rPr>
                <w:sz w:val="19"/>
                <w:szCs w:val="19"/>
              </w:rPr>
              <w:t>ρόσ</w:t>
            </w:r>
            <w:proofErr w:type="spellEnd"/>
            <w:r>
              <w:rPr>
                <w:sz w:val="19"/>
                <w:szCs w:val="19"/>
              </w:rPr>
              <w:t xml:space="preserve">βαση </w:t>
            </w:r>
            <w:proofErr w:type="spellStart"/>
            <w:r>
              <w:rPr>
                <w:sz w:val="19"/>
                <w:szCs w:val="19"/>
              </w:rPr>
              <w:t>σε</w:t>
            </w:r>
            <w:proofErr w:type="spellEnd"/>
            <w:r>
              <w:rPr>
                <w:sz w:val="19"/>
                <w:szCs w:val="19"/>
              </w:rPr>
              <w:t xml:space="preserve"> π</w:t>
            </w:r>
            <w:proofErr w:type="spellStart"/>
            <w:r>
              <w:rPr>
                <w:sz w:val="19"/>
                <w:szCs w:val="19"/>
              </w:rPr>
              <w:t>ροστ</w:t>
            </w:r>
            <w:proofErr w:type="spellEnd"/>
            <w:r>
              <w:rPr>
                <w:sz w:val="19"/>
                <w:szCs w:val="19"/>
              </w:rPr>
              <w:t>ασία</w:t>
            </w:r>
          </w:p>
        </w:tc>
      </w:tr>
      <w:tr w:rsidR="00E63D5B" w:rsidRPr="00D84B1E" w14:paraId="2AB0A5D8" w14:textId="77777777">
        <w:trPr>
          <w:cantSplit/>
          <w:jc w:val="center"/>
        </w:trPr>
        <w:tc>
          <w:tcPr>
            <w:tcW w:w="3024" w:type="dxa"/>
            <w:tcBorders>
              <w:top w:val="single" w:sz="4" w:space="0" w:color="BFBFBF"/>
              <w:left w:val="single" w:sz="4" w:space="0" w:color="BFBFBF"/>
              <w:bottom w:val="single" w:sz="4" w:space="0" w:color="BFBFBF"/>
              <w:right w:val="single" w:sz="4" w:space="0" w:color="BFBFBF"/>
            </w:tcBorders>
          </w:tcPr>
          <w:p w14:paraId="6474C8DE" w14:textId="77777777" w:rsidR="00E63D5B" w:rsidRDefault="001F059D">
            <w:pPr>
              <w:spacing w:after="40" w:line="240" w:lineRule="auto"/>
              <w:jc w:val="left"/>
            </w:pPr>
            <w:r>
              <w:rPr>
                <w:sz w:val="19"/>
                <w:szCs w:val="19"/>
              </w:rPr>
              <w:t>Κα</w:t>
            </w:r>
            <w:proofErr w:type="spellStart"/>
            <w:r>
              <w:rPr>
                <w:sz w:val="19"/>
                <w:szCs w:val="19"/>
              </w:rPr>
              <w:t>θολική</w:t>
            </w:r>
            <w:proofErr w:type="spellEnd"/>
            <w:r>
              <w:rPr>
                <w:sz w:val="19"/>
                <w:szCs w:val="19"/>
              </w:rPr>
              <w:t xml:space="preserve"> π</w:t>
            </w:r>
            <w:proofErr w:type="spellStart"/>
            <w:r>
              <w:rPr>
                <w:sz w:val="19"/>
                <w:szCs w:val="19"/>
              </w:rPr>
              <w:t>ρόληψη</w:t>
            </w:r>
            <w:proofErr w:type="spellEnd"/>
          </w:p>
        </w:tc>
        <w:tc>
          <w:tcPr>
            <w:tcW w:w="3024" w:type="dxa"/>
            <w:tcBorders>
              <w:top w:val="single" w:sz="4" w:space="0" w:color="BFBFBF"/>
              <w:left w:val="single" w:sz="4" w:space="0" w:color="BFBFBF"/>
              <w:bottom w:val="single" w:sz="4" w:space="0" w:color="BFBFBF"/>
              <w:right w:val="single" w:sz="4" w:space="0" w:color="BFBFBF"/>
            </w:tcBorders>
          </w:tcPr>
          <w:p w14:paraId="6F4AE62E" w14:textId="77777777" w:rsidR="00E63D5B" w:rsidRPr="00132066" w:rsidRDefault="001F059D">
            <w:pPr>
              <w:spacing w:after="40" w:line="240" w:lineRule="auto"/>
              <w:jc w:val="left"/>
              <w:rPr>
                <w:lang w:val="el-GR"/>
              </w:rPr>
            </w:pPr>
            <w:r>
              <w:rPr>
                <w:sz w:val="19"/>
                <w:szCs w:val="19"/>
                <w:lang w:val="el-GR"/>
              </w:rPr>
              <w:t>Σχολικά και κοινοτικά προγράμματα όπως στην ενότητα 10.6, με αξιολόγηση της μεταβολής γνώσεων, στάσεων και συμπεριφορών</w:t>
            </w:r>
          </w:p>
        </w:tc>
        <w:tc>
          <w:tcPr>
            <w:tcW w:w="3024" w:type="dxa"/>
            <w:tcBorders>
              <w:top w:val="single" w:sz="4" w:space="0" w:color="BFBFBF"/>
              <w:left w:val="single" w:sz="4" w:space="0" w:color="BFBFBF"/>
              <w:bottom w:val="single" w:sz="4" w:space="0" w:color="BFBFBF"/>
              <w:right w:val="single" w:sz="4" w:space="0" w:color="BFBFBF"/>
            </w:tcBorders>
          </w:tcPr>
          <w:p w14:paraId="276D6461" w14:textId="77777777" w:rsidR="00E63D5B" w:rsidRPr="00132066" w:rsidRDefault="001F059D">
            <w:pPr>
              <w:spacing w:after="40" w:line="240" w:lineRule="auto"/>
              <w:jc w:val="left"/>
              <w:rPr>
                <w:lang w:val="el-GR"/>
              </w:rPr>
            </w:pPr>
            <w:r>
              <w:rPr>
                <w:sz w:val="19"/>
                <w:szCs w:val="19"/>
                <w:lang w:val="el-GR"/>
              </w:rPr>
              <w:t xml:space="preserve">Μείωση της </w:t>
            </w:r>
            <w:proofErr w:type="spellStart"/>
            <w:r>
              <w:rPr>
                <w:sz w:val="19"/>
                <w:szCs w:val="19"/>
                <w:lang w:val="el-GR"/>
              </w:rPr>
              <w:t>κανονικοποίησης</w:t>
            </w:r>
            <w:proofErr w:type="spellEnd"/>
            <w:r>
              <w:rPr>
                <w:sz w:val="19"/>
                <w:szCs w:val="19"/>
                <w:lang w:val="el-GR"/>
              </w:rPr>
              <w:t xml:space="preserve"> του ελέγχου στις μελλοντικές γενιές</w:t>
            </w:r>
          </w:p>
        </w:tc>
      </w:tr>
    </w:tbl>
    <w:p w14:paraId="55D729AE" w14:textId="77777777" w:rsidR="00E63D5B" w:rsidRPr="00132066" w:rsidRDefault="00E63D5B">
      <w:pPr>
        <w:spacing w:after="80"/>
        <w:rPr>
          <w:lang w:val="el-GR"/>
        </w:rPr>
      </w:pPr>
    </w:p>
    <w:p w14:paraId="3A66ECBA" w14:textId="77777777" w:rsidR="00E63D5B" w:rsidRPr="00132066" w:rsidRDefault="001F059D">
      <w:pPr>
        <w:pStyle w:val="20"/>
        <w:rPr>
          <w:lang w:val="el-GR"/>
        </w:rPr>
      </w:pPr>
      <w:bookmarkStart w:id="82" w:name="_Toc242134487"/>
      <w:r>
        <w:rPr>
          <w:lang w:val="el-GR"/>
        </w:rPr>
        <w:t>10.8 Οι προτάσεις των ίδιων των επιζωσών</w:t>
      </w:r>
      <w:bookmarkEnd w:id="82"/>
    </w:p>
    <w:p w14:paraId="1994605B" w14:textId="35198DED" w:rsidR="00E63D5B" w:rsidRPr="00132066" w:rsidRDefault="001F059D">
      <w:pPr>
        <w:rPr>
          <w:lang w:val="el-GR"/>
        </w:rPr>
      </w:pPr>
      <w:r>
        <w:rPr>
          <w:lang w:val="el-GR"/>
        </w:rPr>
        <w:t>Η ερευνητική ομάδα, σεβόμενη τη φωνή των γυναικών και τη σημασία της συμμετοχής των επιζωσών στον σχεδιασμό και την αξιολόγηση των υπηρεσιών (</w:t>
      </w:r>
      <w:r>
        <w:t>Goodman</w:t>
      </w:r>
      <w:r>
        <w:rPr>
          <w:lang w:val="el-GR"/>
        </w:rPr>
        <w:t xml:space="preserve"> &amp; </w:t>
      </w:r>
      <w:r>
        <w:t>Epstein</w:t>
      </w:r>
      <w:r>
        <w:rPr>
          <w:lang w:val="el-GR"/>
        </w:rPr>
        <w:t xml:space="preserve">, 2008 </w:t>
      </w:r>
      <w:r>
        <w:t>Sullivan</w:t>
      </w:r>
      <w:r>
        <w:rPr>
          <w:lang w:val="el-GR"/>
        </w:rPr>
        <w:t>, 2018), παραθέτει τις προτάσεις τους ως αυτοτελές σύνολο, οργανωμένο σε τρεις άξονες. Οι προτάσεις των δύο μεταναστριών συγκλίνουν με εκείνες του κύριου δείγματος, προσθέτοντας τη διάσταση της αφύπνισης των ίδιων των γονέων ως προϋπόθεση για την προστασία των παιδιών.</w:t>
      </w:r>
    </w:p>
    <w:p w14:paraId="6C415328" w14:textId="464851A1" w:rsidR="00E63D5B" w:rsidRPr="00132066" w:rsidRDefault="001F059D">
      <w:pPr>
        <w:keepNext/>
        <w:spacing w:after="60"/>
        <w:jc w:val="left"/>
        <w:rPr>
          <w:lang w:val="el-GR"/>
        </w:rPr>
      </w:pPr>
      <w:r>
        <w:rPr>
          <w:b/>
          <w:bCs/>
          <w:color w:val="1D2B44"/>
          <w:sz w:val="20"/>
          <w:szCs w:val="20"/>
          <w:lang w:val="el-GR"/>
        </w:rPr>
        <w:t xml:space="preserve">Πίνακας </w:t>
      </w:r>
      <w:r w:rsidR="00EB7D96">
        <w:rPr>
          <w:b/>
          <w:bCs/>
          <w:color w:val="1D2B44"/>
          <w:sz w:val="20"/>
          <w:szCs w:val="20"/>
          <w:lang w:val="el-GR"/>
        </w:rPr>
        <w:t>11</w:t>
      </w:r>
      <w:r>
        <w:rPr>
          <w:b/>
          <w:bCs/>
          <w:color w:val="1D2B44"/>
          <w:sz w:val="20"/>
          <w:szCs w:val="20"/>
          <w:lang w:val="el-GR"/>
        </w:rPr>
        <w:t xml:space="preserve">. </w:t>
      </w:r>
      <w:r>
        <w:rPr>
          <w:i/>
          <w:iCs/>
          <w:color w:val="1D2B44"/>
          <w:sz w:val="20"/>
          <w:szCs w:val="20"/>
          <w:lang w:val="el-GR"/>
        </w:rPr>
        <w:t>Οι προτάσεις των επιζωσών, η αντίστοιχη πολιτική δράση και το αναμενόμενο όφελος</w:t>
      </w:r>
    </w:p>
    <w:tbl>
      <w:tblPr>
        <w:tblStyle w:val="afff7"/>
        <w:tblW w:w="9072" w:type="dxa"/>
        <w:jc w:val="center"/>
        <w:tblLayout w:type="fixed"/>
        <w:tblLook w:val="0400" w:firstRow="0" w:lastRow="0" w:firstColumn="0" w:lastColumn="0" w:noHBand="0" w:noVBand="1"/>
      </w:tblPr>
      <w:tblGrid>
        <w:gridCol w:w="2268"/>
        <w:gridCol w:w="2268"/>
        <w:gridCol w:w="2268"/>
        <w:gridCol w:w="2268"/>
      </w:tblGrid>
      <w:tr w:rsidR="00E63D5B" w14:paraId="5C7DE418" w14:textId="77777777">
        <w:trPr>
          <w:cantSplit/>
          <w:tblHeader/>
          <w:jc w:val="center"/>
        </w:trPr>
        <w:tc>
          <w:tcPr>
            <w:tcW w:w="2268" w:type="dxa"/>
            <w:tcBorders>
              <w:top w:val="single" w:sz="4" w:space="0" w:color="BFBFBF"/>
              <w:left w:val="single" w:sz="4" w:space="0" w:color="BFBFBF"/>
              <w:bottom w:val="single" w:sz="4" w:space="0" w:color="BFBFBF"/>
              <w:right w:val="single" w:sz="4" w:space="0" w:color="BFBFBF"/>
            </w:tcBorders>
            <w:shd w:val="clear" w:color="auto" w:fill="4A6FA5"/>
          </w:tcPr>
          <w:p w14:paraId="2120060B" w14:textId="77777777" w:rsidR="00E63D5B" w:rsidRPr="00132066" w:rsidRDefault="001F059D">
            <w:pPr>
              <w:spacing w:after="40" w:line="240" w:lineRule="auto"/>
              <w:jc w:val="left"/>
              <w:rPr>
                <w:lang w:val="el-GR"/>
              </w:rPr>
            </w:pPr>
            <w:r>
              <w:rPr>
                <w:b/>
                <w:bCs/>
                <w:color w:val="FFFFFF"/>
                <w:sz w:val="19"/>
                <w:szCs w:val="19"/>
                <w:lang w:val="el-GR"/>
              </w:rPr>
              <w:t>Πρόβλημα που ανέδειξαν οι γυναίκες</w:t>
            </w:r>
          </w:p>
        </w:tc>
        <w:tc>
          <w:tcPr>
            <w:tcW w:w="2268" w:type="dxa"/>
            <w:tcBorders>
              <w:top w:val="single" w:sz="4" w:space="0" w:color="BFBFBF"/>
              <w:left w:val="single" w:sz="4" w:space="0" w:color="BFBFBF"/>
              <w:bottom w:val="single" w:sz="4" w:space="0" w:color="BFBFBF"/>
              <w:right w:val="single" w:sz="4" w:space="0" w:color="BFBFBF"/>
            </w:tcBorders>
            <w:shd w:val="clear" w:color="auto" w:fill="4A6FA5"/>
          </w:tcPr>
          <w:p w14:paraId="649485AC" w14:textId="77777777" w:rsidR="00E63D5B" w:rsidRDefault="001F059D">
            <w:pPr>
              <w:spacing w:after="40" w:line="240" w:lineRule="auto"/>
              <w:jc w:val="left"/>
            </w:pPr>
            <w:proofErr w:type="spellStart"/>
            <w:r>
              <w:rPr>
                <w:b/>
                <w:bCs/>
                <w:color w:val="FFFFFF"/>
                <w:sz w:val="19"/>
                <w:szCs w:val="19"/>
              </w:rPr>
              <w:t>Πρότ</w:t>
            </w:r>
            <w:proofErr w:type="spellEnd"/>
            <w:r>
              <w:rPr>
                <w:b/>
                <w:bCs/>
                <w:color w:val="FFFFFF"/>
                <w:sz w:val="19"/>
                <w:szCs w:val="19"/>
              </w:rPr>
              <w:t xml:space="preserve">αση </w:t>
            </w:r>
            <w:proofErr w:type="spellStart"/>
            <w:r>
              <w:rPr>
                <w:b/>
                <w:bCs/>
                <w:color w:val="FFFFFF"/>
                <w:sz w:val="19"/>
                <w:szCs w:val="19"/>
              </w:rPr>
              <w:t>των</w:t>
            </w:r>
            <w:proofErr w:type="spellEnd"/>
            <w:r>
              <w:rPr>
                <w:b/>
                <w:bCs/>
                <w:color w:val="FFFFFF"/>
                <w:sz w:val="19"/>
                <w:szCs w:val="19"/>
              </w:rPr>
              <w:t xml:space="preserve"> </w:t>
            </w:r>
            <w:proofErr w:type="spellStart"/>
            <w:r>
              <w:rPr>
                <w:b/>
                <w:bCs/>
                <w:color w:val="FFFFFF"/>
                <w:sz w:val="19"/>
                <w:szCs w:val="19"/>
              </w:rPr>
              <w:t>γυν</w:t>
            </w:r>
            <w:proofErr w:type="spellEnd"/>
            <w:r>
              <w:rPr>
                <w:b/>
                <w:bCs/>
                <w:color w:val="FFFFFF"/>
                <w:sz w:val="19"/>
                <w:szCs w:val="19"/>
              </w:rPr>
              <w:t>αικών</w:t>
            </w:r>
          </w:p>
        </w:tc>
        <w:tc>
          <w:tcPr>
            <w:tcW w:w="2268" w:type="dxa"/>
            <w:tcBorders>
              <w:top w:val="single" w:sz="4" w:space="0" w:color="BFBFBF"/>
              <w:left w:val="single" w:sz="4" w:space="0" w:color="BFBFBF"/>
              <w:bottom w:val="single" w:sz="4" w:space="0" w:color="BFBFBF"/>
              <w:right w:val="single" w:sz="4" w:space="0" w:color="BFBFBF"/>
            </w:tcBorders>
            <w:shd w:val="clear" w:color="auto" w:fill="4A6FA5"/>
          </w:tcPr>
          <w:p w14:paraId="30D901BC" w14:textId="77777777" w:rsidR="00E63D5B" w:rsidRDefault="001F059D">
            <w:pPr>
              <w:spacing w:after="40" w:line="240" w:lineRule="auto"/>
              <w:jc w:val="left"/>
            </w:pPr>
            <w:proofErr w:type="spellStart"/>
            <w:r>
              <w:rPr>
                <w:b/>
                <w:bCs/>
                <w:color w:val="FFFFFF"/>
                <w:sz w:val="19"/>
                <w:szCs w:val="19"/>
              </w:rPr>
              <w:t>Πολιτική</w:t>
            </w:r>
            <w:proofErr w:type="spellEnd"/>
            <w:r>
              <w:rPr>
                <w:b/>
                <w:bCs/>
                <w:color w:val="FFFFFF"/>
                <w:sz w:val="19"/>
                <w:szCs w:val="19"/>
              </w:rPr>
              <w:t xml:space="preserve"> </w:t>
            </w:r>
            <w:proofErr w:type="spellStart"/>
            <w:r>
              <w:rPr>
                <w:b/>
                <w:bCs/>
                <w:color w:val="FFFFFF"/>
                <w:sz w:val="19"/>
                <w:szCs w:val="19"/>
              </w:rPr>
              <w:t>δράση</w:t>
            </w:r>
            <w:proofErr w:type="spellEnd"/>
          </w:p>
        </w:tc>
        <w:tc>
          <w:tcPr>
            <w:tcW w:w="2268" w:type="dxa"/>
            <w:tcBorders>
              <w:top w:val="single" w:sz="4" w:space="0" w:color="BFBFBF"/>
              <w:left w:val="single" w:sz="4" w:space="0" w:color="BFBFBF"/>
              <w:bottom w:val="single" w:sz="4" w:space="0" w:color="BFBFBF"/>
              <w:right w:val="single" w:sz="4" w:space="0" w:color="BFBFBF"/>
            </w:tcBorders>
            <w:shd w:val="clear" w:color="auto" w:fill="4A6FA5"/>
          </w:tcPr>
          <w:p w14:paraId="10245281" w14:textId="77777777" w:rsidR="00E63D5B" w:rsidRDefault="001F059D">
            <w:pPr>
              <w:spacing w:after="40" w:line="240" w:lineRule="auto"/>
              <w:jc w:val="left"/>
            </w:pPr>
            <w:proofErr w:type="spellStart"/>
            <w:r>
              <w:rPr>
                <w:b/>
                <w:bCs/>
                <w:color w:val="FFFFFF"/>
                <w:sz w:val="19"/>
                <w:szCs w:val="19"/>
              </w:rPr>
              <w:t>Αν</w:t>
            </w:r>
            <w:proofErr w:type="spellEnd"/>
            <w:r>
              <w:rPr>
                <w:b/>
                <w:bCs/>
                <w:color w:val="FFFFFF"/>
                <w:sz w:val="19"/>
                <w:szCs w:val="19"/>
              </w:rPr>
              <w:t xml:space="preserve">αμενόμενο </w:t>
            </w:r>
            <w:proofErr w:type="spellStart"/>
            <w:r>
              <w:rPr>
                <w:b/>
                <w:bCs/>
                <w:color w:val="FFFFFF"/>
                <w:sz w:val="19"/>
                <w:szCs w:val="19"/>
              </w:rPr>
              <w:t>όφελος</w:t>
            </w:r>
            <w:proofErr w:type="spellEnd"/>
          </w:p>
        </w:tc>
      </w:tr>
      <w:tr w:rsidR="00E63D5B" w:rsidRPr="00D84B1E" w14:paraId="791D845F" w14:textId="77777777">
        <w:trPr>
          <w:cantSplit/>
          <w:jc w:val="center"/>
        </w:trPr>
        <w:tc>
          <w:tcPr>
            <w:tcW w:w="2268" w:type="dxa"/>
            <w:tcBorders>
              <w:top w:val="single" w:sz="4" w:space="0" w:color="BFBFBF"/>
              <w:left w:val="single" w:sz="4" w:space="0" w:color="BFBFBF"/>
              <w:bottom w:val="single" w:sz="4" w:space="0" w:color="BFBFBF"/>
              <w:right w:val="single" w:sz="4" w:space="0" w:color="BFBFBF"/>
            </w:tcBorders>
          </w:tcPr>
          <w:p w14:paraId="64A466A0" w14:textId="77777777" w:rsidR="00E63D5B" w:rsidRPr="00132066" w:rsidRDefault="001F059D">
            <w:pPr>
              <w:spacing w:after="40" w:line="240" w:lineRule="auto"/>
              <w:jc w:val="left"/>
              <w:rPr>
                <w:lang w:val="el-GR"/>
              </w:rPr>
            </w:pPr>
            <w:r>
              <w:rPr>
                <w:sz w:val="19"/>
                <w:szCs w:val="19"/>
                <w:lang w:val="el-GR"/>
              </w:rPr>
              <w:t xml:space="preserve">Η βία δεν αναγνωρίζεται </w:t>
            </w:r>
            <w:proofErr w:type="spellStart"/>
            <w:r>
              <w:rPr>
                <w:sz w:val="19"/>
                <w:szCs w:val="19"/>
                <w:lang w:val="el-GR"/>
              </w:rPr>
              <w:t>έγκαιρα·η</w:t>
            </w:r>
            <w:proofErr w:type="spellEnd"/>
            <w:r>
              <w:rPr>
                <w:sz w:val="19"/>
                <w:szCs w:val="19"/>
                <w:lang w:val="el-GR"/>
              </w:rPr>
              <w:t xml:space="preserve"> «γοητεία» του δράστη συγκαλύπτει τον έλεγχο</w:t>
            </w:r>
          </w:p>
        </w:tc>
        <w:tc>
          <w:tcPr>
            <w:tcW w:w="2268" w:type="dxa"/>
            <w:tcBorders>
              <w:top w:val="single" w:sz="4" w:space="0" w:color="BFBFBF"/>
              <w:left w:val="single" w:sz="4" w:space="0" w:color="BFBFBF"/>
              <w:bottom w:val="single" w:sz="4" w:space="0" w:color="BFBFBF"/>
              <w:right w:val="single" w:sz="4" w:space="0" w:color="BFBFBF"/>
            </w:tcBorders>
          </w:tcPr>
          <w:p w14:paraId="1201F646" w14:textId="306697B0" w:rsidR="00E63D5B" w:rsidRPr="00132066" w:rsidRDefault="001F059D">
            <w:pPr>
              <w:spacing w:after="40" w:line="240" w:lineRule="auto"/>
              <w:jc w:val="left"/>
              <w:rPr>
                <w:lang w:val="el-GR"/>
              </w:rPr>
            </w:pPr>
            <w:r>
              <w:rPr>
                <w:sz w:val="19"/>
                <w:szCs w:val="19"/>
                <w:lang w:val="el-GR"/>
              </w:rPr>
              <w:t>Αναγνώριση και απομυθοποίηση της βίας απομάκρυνση από τη σχέση, με ασφαλή σχεδιασμό</w:t>
            </w:r>
          </w:p>
        </w:tc>
        <w:tc>
          <w:tcPr>
            <w:tcW w:w="2268" w:type="dxa"/>
            <w:tcBorders>
              <w:top w:val="single" w:sz="4" w:space="0" w:color="BFBFBF"/>
              <w:left w:val="single" w:sz="4" w:space="0" w:color="BFBFBF"/>
              <w:bottom w:val="single" w:sz="4" w:space="0" w:color="BFBFBF"/>
              <w:right w:val="single" w:sz="4" w:space="0" w:color="BFBFBF"/>
            </w:tcBorders>
          </w:tcPr>
          <w:p w14:paraId="70518F5A" w14:textId="77777777" w:rsidR="00E63D5B" w:rsidRPr="00132066" w:rsidRDefault="001F059D">
            <w:pPr>
              <w:spacing w:after="40" w:line="240" w:lineRule="auto"/>
              <w:jc w:val="left"/>
              <w:rPr>
                <w:lang w:val="el-GR"/>
              </w:rPr>
            </w:pPr>
            <w:r>
              <w:rPr>
                <w:sz w:val="19"/>
                <w:szCs w:val="19"/>
                <w:lang w:val="el-GR"/>
              </w:rPr>
              <w:t>Δημόσιες καμπάνιες και σχολική εκπαίδευση για τις αθέατες μορφές βίας· σχέδια ασφάλειας σε κάθε δομή</w:t>
            </w:r>
          </w:p>
        </w:tc>
        <w:tc>
          <w:tcPr>
            <w:tcW w:w="2268" w:type="dxa"/>
            <w:tcBorders>
              <w:top w:val="single" w:sz="4" w:space="0" w:color="BFBFBF"/>
              <w:left w:val="single" w:sz="4" w:space="0" w:color="BFBFBF"/>
              <w:bottom w:val="single" w:sz="4" w:space="0" w:color="BFBFBF"/>
              <w:right w:val="single" w:sz="4" w:space="0" w:color="BFBFBF"/>
            </w:tcBorders>
          </w:tcPr>
          <w:p w14:paraId="03F56B2E" w14:textId="77777777" w:rsidR="00E63D5B" w:rsidRPr="00132066" w:rsidRDefault="001F059D">
            <w:pPr>
              <w:spacing w:after="40" w:line="240" w:lineRule="auto"/>
              <w:jc w:val="left"/>
              <w:rPr>
                <w:lang w:val="el-GR"/>
              </w:rPr>
            </w:pPr>
            <w:r>
              <w:rPr>
                <w:sz w:val="19"/>
                <w:szCs w:val="19"/>
                <w:lang w:val="el-GR"/>
              </w:rPr>
              <w:t>Έγκαιρη αποχώρηση με μειωμένο κίνδυνο</w:t>
            </w:r>
          </w:p>
        </w:tc>
      </w:tr>
      <w:tr w:rsidR="00E63D5B" w14:paraId="0EF7966D" w14:textId="77777777">
        <w:trPr>
          <w:cantSplit/>
          <w:jc w:val="center"/>
        </w:trPr>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7C6C2758" w14:textId="6AD60590" w:rsidR="00E63D5B" w:rsidRPr="00132066" w:rsidRDefault="001F059D">
            <w:pPr>
              <w:spacing w:after="40" w:line="240" w:lineRule="auto"/>
              <w:jc w:val="left"/>
              <w:rPr>
                <w:lang w:val="el-GR"/>
              </w:rPr>
            </w:pPr>
            <w:r>
              <w:rPr>
                <w:sz w:val="19"/>
                <w:szCs w:val="19"/>
                <w:lang w:val="el-GR"/>
              </w:rPr>
              <w:t>Οι 12 συνεδρίες δεν αρκούν η αποκατάσταση δεν είναι γραμμική</w:t>
            </w:r>
          </w:p>
        </w:tc>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5C2E5E77" w14:textId="77777777" w:rsidR="00E63D5B" w:rsidRPr="00132066" w:rsidRDefault="001F059D">
            <w:pPr>
              <w:spacing w:after="40" w:line="240" w:lineRule="auto"/>
              <w:jc w:val="left"/>
              <w:rPr>
                <w:lang w:val="el-GR"/>
              </w:rPr>
            </w:pPr>
            <w:r>
              <w:rPr>
                <w:sz w:val="19"/>
                <w:szCs w:val="19"/>
                <w:lang w:val="el-GR"/>
              </w:rPr>
              <w:t xml:space="preserve">Μακροχρόνια, εξατομικευμένη ψυχολογική </w:t>
            </w:r>
            <w:proofErr w:type="spellStart"/>
            <w:r>
              <w:rPr>
                <w:sz w:val="19"/>
                <w:szCs w:val="19"/>
                <w:lang w:val="el-GR"/>
              </w:rPr>
              <w:t>υποστήριξη·συνέχεια</w:t>
            </w:r>
            <w:proofErr w:type="spellEnd"/>
            <w:r>
              <w:rPr>
                <w:sz w:val="19"/>
                <w:szCs w:val="19"/>
                <w:lang w:val="el-GR"/>
              </w:rPr>
              <w:t xml:space="preserve"> της θεραπευτικής σχέσης</w:t>
            </w:r>
          </w:p>
        </w:tc>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79EAF30A" w14:textId="77777777" w:rsidR="00E63D5B" w:rsidRPr="00132066" w:rsidRDefault="001F059D">
            <w:pPr>
              <w:spacing w:after="40" w:line="240" w:lineRule="auto"/>
              <w:jc w:val="left"/>
              <w:rPr>
                <w:lang w:val="el-GR"/>
              </w:rPr>
            </w:pPr>
            <w:r>
              <w:rPr>
                <w:sz w:val="19"/>
                <w:szCs w:val="19"/>
                <w:lang w:val="el-GR"/>
              </w:rPr>
              <w:t xml:space="preserve">Κατάργηση οριζόντιων ορίων </w:t>
            </w:r>
            <w:proofErr w:type="spellStart"/>
            <w:r>
              <w:rPr>
                <w:sz w:val="19"/>
                <w:szCs w:val="19"/>
                <w:lang w:val="el-GR"/>
              </w:rPr>
              <w:t>συνεδριών·στελέχωση</w:t>
            </w:r>
            <w:proofErr w:type="spellEnd"/>
          </w:p>
        </w:tc>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457AB17B" w14:textId="77777777" w:rsidR="00E63D5B" w:rsidRDefault="001F059D">
            <w:pPr>
              <w:spacing w:after="40" w:line="240" w:lineRule="auto"/>
              <w:jc w:val="left"/>
            </w:pPr>
            <w:proofErr w:type="spellStart"/>
            <w:r>
              <w:rPr>
                <w:sz w:val="19"/>
                <w:szCs w:val="19"/>
              </w:rPr>
              <w:t>Ουσι</w:t>
            </w:r>
            <w:proofErr w:type="spellEnd"/>
            <w:r>
              <w:rPr>
                <w:sz w:val="19"/>
                <w:szCs w:val="19"/>
              </w:rPr>
              <w:t>αστική απ</w:t>
            </w:r>
            <w:proofErr w:type="spellStart"/>
            <w:r>
              <w:rPr>
                <w:sz w:val="19"/>
                <w:szCs w:val="19"/>
              </w:rPr>
              <w:t>οκ</w:t>
            </w:r>
            <w:proofErr w:type="spellEnd"/>
            <w:r>
              <w:rPr>
                <w:sz w:val="19"/>
                <w:szCs w:val="19"/>
              </w:rPr>
              <w:t xml:space="preserve">ατάσταση, </w:t>
            </w:r>
            <w:proofErr w:type="spellStart"/>
            <w:r>
              <w:rPr>
                <w:sz w:val="19"/>
                <w:szCs w:val="19"/>
              </w:rPr>
              <w:t>μετ</w:t>
            </w:r>
            <w:proofErr w:type="spellEnd"/>
            <w:r>
              <w:rPr>
                <w:sz w:val="19"/>
                <w:szCs w:val="19"/>
              </w:rPr>
              <w:t>ατραυματική α</w:t>
            </w:r>
            <w:proofErr w:type="spellStart"/>
            <w:r>
              <w:rPr>
                <w:sz w:val="19"/>
                <w:szCs w:val="19"/>
              </w:rPr>
              <w:t>νά</w:t>
            </w:r>
            <w:proofErr w:type="spellEnd"/>
            <w:r>
              <w:rPr>
                <w:sz w:val="19"/>
                <w:szCs w:val="19"/>
              </w:rPr>
              <w:t>πτυξη</w:t>
            </w:r>
          </w:p>
        </w:tc>
      </w:tr>
      <w:tr w:rsidR="00E63D5B" w:rsidRPr="00D84B1E" w14:paraId="163EECF1" w14:textId="77777777">
        <w:trPr>
          <w:cantSplit/>
          <w:jc w:val="center"/>
        </w:trPr>
        <w:tc>
          <w:tcPr>
            <w:tcW w:w="2268" w:type="dxa"/>
            <w:tcBorders>
              <w:top w:val="single" w:sz="4" w:space="0" w:color="BFBFBF"/>
              <w:left w:val="single" w:sz="4" w:space="0" w:color="BFBFBF"/>
              <w:bottom w:val="single" w:sz="4" w:space="0" w:color="BFBFBF"/>
              <w:right w:val="single" w:sz="4" w:space="0" w:color="BFBFBF"/>
            </w:tcBorders>
          </w:tcPr>
          <w:p w14:paraId="4B5285CD" w14:textId="77777777" w:rsidR="00E63D5B" w:rsidRPr="00132066" w:rsidRDefault="001F059D">
            <w:pPr>
              <w:spacing w:after="40" w:line="240" w:lineRule="auto"/>
              <w:jc w:val="left"/>
              <w:rPr>
                <w:lang w:val="el-GR"/>
              </w:rPr>
            </w:pPr>
            <w:r>
              <w:rPr>
                <w:sz w:val="19"/>
                <w:szCs w:val="19"/>
                <w:lang w:val="el-GR"/>
              </w:rPr>
              <w:t>Τα παιδιά παγιδεύονται «επειδή είναι ο μπαμπάς και η μαμά»</w:t>
            </w:r>
          </w:p>
        </w:tc>
        <w:tc>
          <w:tcPr>
            <w:tcW w:w="2268" w:type="dxa"/>
            <w:tcBorders>
              <w:top w:val="single" w:sz="4" w:space="0" w:color="BFBFBF"/>
              <w:left w:val="single" w:sz="4" w:space="0" w:color="BFBFBF"/>
              <w:bottom w:val="single" w:sz="4" w:space="0" w:color="BFBFBF"/>
              <w:right w:val="single" w:sz="4" w:space="0" w:color="BFBFBF"/>
            </w:tcBorders>
          </w:tcPr>
          <w:p w14:paraId="37E3D7C6" w14:textId="36E4D064" w:rsidR="00E63D5B" w:rsidRPr="00132066" w:rsidRDefault="001F059D">
            <w:pPr>
              <w:spacing w:after="40" w:line="240" w:lineRule="auto"/>
              <w:jc w:val="left"/>
              <w:rPr>
                <w:lang w:val="el-GR"/>
              </w:rPr>
            </w:pPr>
            <w:r>
              <w:rPr>
                <w:sz w:val="19"/>
                <w:szCs w:val="19"/>
                <w:lang w:val="el-GR"/>
              </w:rPr>
              <w:t xml:space="preserve">Ανοιχτός λόγος με τα </w:t>
            </w:r>
            <w:proofErr w:type="spellStart"/>
            <w:r>
              <w:rPr>
                <w:sz w:val="19"/>
                <w:szCs w:val="19"/>
                <w:lang w:val="el-GR"/>
              </w:rPr>
              <w:t>παιδιά·ασφαλείς</w:t>
            </w:r>
            <w:proofErr w:type="spellEnd"/>
            <w:r>
              <w:rPr>
                <w:sz w:val="19"/>
                <w:szCs w:val="19"/>
                <w:lang w:val="el-GR"/>
              </w:rPr>
              <w:t xml:space="preserve"> χώροι αποκάλυψης ψυχολόγοι στα σχολεία</w:t>
            </w:r>
          </w:p>
        </w:tc>
        <w:tc>
          <w:tcPr>
            <w:tcW w:w="2268" w:type="dxa"/>
            <w:tcBorders>
              <w:top w:val="single" w:sz="4" w:space="0" w:color="BFBFBF"/>
              <w:left w:val="single" w:sz="4" w:space="0" w:color="BFBFBF"/>
              <w:bottom w:val="single" w:sz="4" w:space="0" w:color="BFBFBF"/>
              <w:right w:val="single" w:sz="4" w:space="0" w:color="BFBFBF"/>
            </w:tcBorders>
          </w:tcPr>
          <w:p w14:paraId="3AD999A7" w14:textId="4C92F826" w:rsidR="00E63D5B" w:rsidRPr="00132066" w:rsidRDefault="001F059D">
            <w:pPr>
              <w:spacing w:after="40" w:line="240" w:lineRule="auto"/>
              <w:jc w:val="left"/>
              <w:rPr>
                <w:lang w:val="el-GR"/>
              </w:rPr>
            </w:pPr>
            <w:r>
              <w:rPr>
                <w:sz w:val="19"/>
                <w:szCs w:val="19"/>
                <w:lang w:val="el-GR"/>
              </w:rPr>
              <w:t xml:space="preserve">Εφαρμογή του υπάρχοντος νομοθετικού </w:t>
            </w:r>
            <w:proofErr w:type="spellStart"/>
            <w:r>
              <w:rPr>
                <w:sz w:val="19"/>
                <w:szCs w:val="19"/>
                <w:lang w:val="el-GR"/>
              </w:rPr>
              <w:t>πλαισίου·σχολικοί</w:t>
            </w:r>
            <w:proofErr w:type="spellEnd"/>
            <w:r>
              <w:rPr>
                <w:sz w:val="19"/>
                <w:szCs w:val="19"/>
                <w:lang w:val="el-GR"/>
              </w:rPr>
              <w:t>/</w:t>
            </w:r>
            <w:proofErr w:type="spellStart"/>
            <w:r>
              <w:rPr>
                <w:sz w:val="19"/>
                <w:szCs w:val="19"/>
                <w:lang w:val="el-GR"/>
              </w:rPr>
              <w:t>ές</w:t>
            </w:r>
            <w:proofErr w:type="spellEnd"/>
            <w:r>
              <w:rPr>
                <w:sz w:val="19"/>
                <w:szCs w:val="19"/>
                <w:lang w:val="el-GR"/>
              </w:rPr>
              <w:t xml:space="preserve"> </w:t>
            </w:r>
            <w:proofErr w:type="spellStart"/>
            <w:r>
              <w:rPr>
                <w:sz w:val="19"/>
                <w:szCs w:val="19"/>
                <w:lang w:val="el-GR"/>
              </w:rPr>
              <w:t>ψυχολόγοι·πρωτόκολλα</w:t>
            </w:r>
            <w:proofErr w:type="spellEnd"/>
            <w:r>
              <w:rPr>
                <w:sz w:val="19"/>
                <w:szCs w:val="19"/>
                <w:lang w:val="el-GR"/>
              </w:rPr>
              <w:t xml:space="preserve"> αποκάλυψης</w:t>
            </w:r>
          </w:p>
        </w:tc>
        <w:tc>
          <w:tcPr>
            <w:tcW w:w="2268" w:type="dxa"/>
            <w:tcBorders>
              <w:top w:val="single" w:sz="4" w:space="0" w:color="BFBFBF"/>
              <w:left w:val="single" w:sz="4" w:space="0" w:color="BFBFBF"/>
              <w:bottom w:val="single" w:sz="4" w:space="0" w:color="BFBFBF"/>
              <w:right w:val="single" w:sz="4" w:space="0" w:color="BFBFBF"/>
            </w:tcBorders>
          </w:tcPr>
          <w:p w14:paraId="48E86386" w14:textId="77777777" w:rsidR="00E63D5B" w:rsidRPr="00132066" w:rsidRDefault="001F059D">
            <w:pPr>
              <w:spacing w:after="40" w:line="240" w:lineRule="auto"/>
              <w:jc w:val="left"/>
              <w:rPr>
                <w:lang w:val="el-GR"/>
              </w:rPr>
            </w:pPr>
            <w:r>
              <w:rPr>
                <w:sz w:val="19"/>
                <w:szCs w:val="19"/>
                <w:lang w:val="el-GR"/>
              </w:rPr>
              <w:t>Προστασία και ενδυνάμωση των παιδιών</w:t>
            </w:r>
          </w:p>
        </w:tc>
      </w:tr>
      <w:tr w:rsidR="00E63D5B" w:rsidRPr="00D84B1E" w14:paraId="6B15FCDE" w14:textId="77777777">
        <w:trPr>
          <w:cantSplit/>
          <w:jc w:val="center"/>
        </w:trPr>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07148430" w14:textId="77777777" w:rsidR="00E63D5B" w:rsidRPr="00132066" w:rsidRDefault="001F059D">
            <w:pPr>
              <w:spacing w:after="40" w:line="240" w:lineRule="auto"/>
              <w:jc w:val="left"/>
              <w:rPr>
                <w:lang w:val="el-GR"/>
              </w:rPr>
            </w:pPr>
            <w:r>
              <w:rPr>
                <w:sz w:val="19"/>
                <w:szCs w:val="19"/>
                <w:lang w:val="el-GR"/>
              </w:rPr>
              <w:t>Ο δράστης δεν αλλάζει από μόνος του</w:t>
            </w:r>
          </w:p>
        </w:tc>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391FE67A" w14:textId="3D46976F" w:rsidR="00E63D5B" w:rsidRPr="00132066" w:rsidRDefault="001F059D">
            <w:pPr>
              <w:spacing w:after="40" w:line="240" w:lineRule="auto"/>
              <w:jc w:val="left"/>
              <w:rPr>
                <w:lang w:val="el-GR"/>
              </w:rPr>
            </w:pPr>
            <w:r>
              <w:rPr>
                <w:sz w:val="19"/>
                <w:szCs w:val="19"/>
                <w:lang w:val="el-GR"/>
              </w:rPr>
              <w:t>Λογοδοσία και θεραπεία των δραστών όρια στην επικοινωνία με τα παιδιά</w:t>
            </w:r>
          </w:p>
        </w:tc>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17D9A346" w14:textId="582C4EB2" w:rsidR="00E63D5B" w:rsidRPr="00132066" w:rsidRDefault="001F059D">
            <w:pPr>
              <w:spacing w:after="40" w:line="240" w:lineRule="auto"/>
              <w:jc w:val="left"/>
              <w:rPr>
                <w:lang w:val="el-GR"/>
              </w:rPr>
            </w:pPr>
            <w:r>
              <w:rPr>
                <w:sz w:val="19"/>
                <w:szCs w:val="19"/>
                <w:lang w:val="el-GR"/>
              </w:rPr>
              <w:t xml:space="preserve">Εξειδικευμένα προγράμματα δραστών ενταγμένα στο σύστημα </w:t>
            </w:r>
            <w:proofErr w:type="spellStart"/>
            <w:r>
              <w:rPr>
                <w:sz w:val="19"/>
                <w:szCs w:val="19"/>
                <w:lang w:val="el-GR"/>
              </w:rPr>
              <w:t>προστασίας·επιμέλεια</w:t>
            </w:r>
            <w:proofErr w:type="spellEnd"/>
            <w:r>
              <w:rPr>
                <w:sz w:val="19"/>
                <w:szCs w:val="19"/>
                <w:lang w:val="el-GR"/>
              </w:rPr>
              <w:t xml:space="preserve"> με βάση το ιστορικό της βίας</w:t>
            </w:r>
          </w:p>
        </w:tc>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13597CD0" w14:textId="77777777" w:rsidR="00E63D5B" w:rsidRPr="00132066" w:rsidRDefault="001F059D">
            <w:pPr>
              <w:spacing w:after="40" w:line="240" w:lineRule="auto"/>
              <w:jc w:val="left"/>
              <w:rPr>
                <w:lang w:val="el-GR"/>
              </w:rPr>
            </w:pPr>
            <w:r>
              <w:rPr>
                <w:sz w:val="19"/>
                <w:szCs w:val="19"/>
                <w:lang w:val="el-GR"/>
              </w:rPr>
              <w:t>Μείωση της βίας μετά τον χωρισμό</w:t>
            </w:r>
          </w:p>
        </w:tc>
      </w:tr>
      <w:tr w:rsidR="00E63D5B" w:rsidRPr="00D84B1E" w14:paraId="332018FF" w14:textId="77777777">
        <w:trPr>
          <w:cantSplit/>
          <w:jc w:val="center"/>
        </w:trPr>
        <w:tc>
          <w:tcPr>
            <w:tcW w:w="2268" w:type="dxa"/>
            <w:tcBorders>
              <w:top w:val="single" w:sz="4" w:space="0" w:color="BFBFBF"/>
              <w:left w:val="single" w:sz="4" w:space="0" w:color="BFBFBF"/>
              <w:bottom w:val="single" w:sz="4" w:space="0" w:color="BFBFBF"/>
              <w:right w:val="single" w:sz="4" w:space="0" w:color="BFBFBF"/>
            </w:tcBorders>
          </w:tcPr>
          <w:p w14:paraId="4592D186" w14:textId="36D3E68B" w:rsidR="00E63D5B" w:rsidRPr="00132066" w:rsidRDefault="001F059D">
            <w:pPr>
              <w:spacing w:after="40" w:line="240" w:lineRule="auto"/>
              <w:jc w:val="left"/>
              <w:rPr>
                <w:lang w:val="el-GR"/>
              </w:rPr>
            </w:pPr>
            <w:r>
              <w:rPr>
                <w:sz w:val="19"/>
                <w:szCs w:val="19"/>
                <w:lang w:val="el-GR"/>
              </w:rPr>
              <w:t xml:space="preserve">Η αστυνομία και η δικαιοσύνη </w:t>
            </w:r>
            <w:proofErr w:type="spellStart"/>
            <w:r>
              <w:rPr>
                <w:sz w:val="19"/>
                <w:szCs w:val="19"/>
                <w:lang w:val="el-GR"/>
              </w:rPr>
              <w:t>επανατραυματίζουν</w:t>
            </w:r>
            <w:proofErr w:type="spellEnd"/>
            <w:r>
              <w:rPr>
                <w:sz w:val="19"/>
                <w:szCs w:val="19"/>
                <w:lang w:val="el-GR"/>
              </w:rPr>
              <w:t xml:space="preserve"> ανισότητα πόρων</w:t>
            </w:r>
          </w:p>
        </w:tc>
        <w:tc>
          <w:tcPr>
            <w:tcW w:w="2268" w:type="dxa"/>
            <w:tcBorders>
              <w:top w:val="single" w:sz="4" w:space="0" w:color="BFBFBF"/>
              <w:left w:val="single" w:sz="4" w:space="0" w:color="BFBFBF"/>
              <w:bottom w:val="single" w:sz="4" w:space="0" w:color="BFBFBF"/>
              <w:right w:val="single" w:sz="4" w:space="0" w:color="BFBFBF"/>
            </w:tcBorders>
          </w:tcPr>
          <w:p w14:paraId="2C7CEBB4" w14:textId="7A404134" w:rsidR="00E63D5B" w:rsidRPr="00132066" w:rsidRDefault="001F059D">
            <w:pPr>
              <w:spacing w:after="40" w:line="240" w:lineRule="auto"/>
              <w:jc w:val="left"/>
              <w:rPr>
                <w:lang w:val="el-GR"/>
              </w:rPr>
            </w:pPr>
            <w:r>
              <w:rPr>
                <w:sz w:val="19"/>
                <w:szCs w:val="19"/>
                <w:lang w:val="el-GR"/>
              </w:rPr>
              <w:t>Υποχρεωτική εκπαίδευση αστυνομικών δωρεάν εξειδικευμένη νομική εκπροσώπηση</w:t>
            </w:r>
          </w:p>
        </w:tc>
        <w:tc>
          <w:tcPr>
            <w:tcW w:w="2268" w:type="dxa"/>
            <w:tcBorders>
              <w:top w:val="single" w:sz="4" w:space="0" w:color="BFBFBF"/>
              <w:left w:val="single" w:sz="4" w:space="0" w:color="BFBFBF"/>
              <w:bottom w:val="single" w:sz="4" w:space="0" w:color="BFBFBF"/>
              <w:right w:val="single" w:sz="4" w:space="0" w:color="BFBFBF"/>
            </w:tcBorders>
          </w:tcPr>
          <w:p w14:paraId="4F6B330E" w14:textId="0E125883" w:rsidR="00E63D5B" w:rsidRPr="00132066" w:rsidRDefault="001F059D">
            <w:pPr>
              <w:spacing w:after="40" w:line="240" w:lineRule="auto"/>
              <w:jc w:val="left"/>
              <w:rPr>
                <w:lang w:val="el-GR"/>
              </w:rPr>
            </w:pPr>
            <w:r>
              <w:rPr>
                <w:sz w:val="19"/>
                <w:szCs w:val="19"/>
                <w:lang w:val="el-GR"/>
              </w:rPr>
              <w:t xml:space="preserve">Πιστοποιημένη </w:t>
            </w:r>
            <w:proofErr w:type="spellStart"/>
            <w:r>
              <w:rPr>
                <w:sz w:val="19"/>
                <w:szCs w:val="19"/>
                <w:lang w:val="el-GR"/>
              </w:rPr>
              <w:t>εκπαίδευση·νομική</w:t>
            </w:r>
            <w:proofErr w:type="spellEnd"/>
            <w:r>
              <w:rPr>
                <w:sz w:val="19"/>
                <w:szCs w:val="19"/>
                <w:lang w:val="el-GR"/>
              </w:rPr>
              <w:t xml:space="preserve"> βοήθεια στα δικαστήρια</w:t>
            </w:r>
          </w:p>
        </w:tc>
        <w:tc>
          <w:tcPr>
            <w:tcW w:w="2268" w:type="dxa"/>
            <w:tcBorders>
              <w:top w:val="single" w:sz="4" w:space="0" w:color="BFBFBF"/>
              <w:left w:val="single" w:sz="4" w:space="0" w:color="BFBFBF"/>
              <w:bottom w:val="single" w:sz="4" w:space="0" w:color="BFBFBF"/>
              <w:right w:val="single" w:sz="4" w:space="0" w:color="BFBFBF"/>
            </w:tcBorders>
          </w:tcPr>
          <w:p w14:paraId="5E9271AE" w14:textId="77777777" w:rsidR="00E63D5B" w:rsidRPr="00132066" w:rsidRDefault="001F059D">
            <w:pPr>
              <w:spacing w:after="40" w:line="240" w:lineRule="auto"/>
              <w:jc w:val="left"/>
              <w:rPr>
                <w:lang w:val="el-GR"/>
              </w:rPr>
            </w:pPr>
            <w:r>
              <w:rPr>
                <w:sz w:val="19"/>
                <w:szCs w:val="19"/>
                <w:lang w:val="el-GR"/>
              </w:rPr>
              <w:t>Εμπιστοσύνη στους θεσμούς, διαδικαστική δικαιοσύνη</w:t>
            </w:r>
          </w:p>
        </w:tc>
      </w:tr>
      <w:tr w:rsidR="00E63D5B" w14:paraId="18F4C32F" w14:textId="77777777">
        <w:trPr>
          <w:cantSplit/>
          <w:jc w:val="center"/>
        </w:trPr>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716BC0FB" w14:textId="77777777" w:rsidR="00E63D5B" w:rsidRPr="00132066" w:rsidRDefault="001F059D">
            <w:pPr>
              <w:spacing w:after="40" w:line="240" w:lineRule="auto"/>
              <w:jc w:val="left"/>
              <w:rPr>
                <w:lang w:val="el-GR"/>
              </w:rPr>
            </w:pPr>
            <w:r>
              <w:rPr>
                <w:sz w:val="19"/>
                <w:szCs w:val="19"/>
                <w:lang w:val="el-GR"/>
              </w:rPr>
              <w:lastRenderedPageBreak/>
              <w:t xml:space="preserve">Λίστες αναμονής, </w:t>
            </w:r>
            <w:proofErr w:type="spellStart"/>
            <w:r>
              <w:rPr>
                <w:sz w:val="19"/>
                <w:szCs w:val="19"/>
                <w:lang w:val="el-GR"/>
              </w:rPr>
              <w:t>διεκπεραιωτική</w:t>
            </w:r>
            <w:proofErr w:type="spellEnd"/>
            <w:r>
              <w:rPr>
                <w:sz w:val="19"/>
                <w:szCs w:val="19"/>
                <w:lang w:val="el-GR"/>
              </w:rPr>
              <w:t xml:space="preserve"> αντιμετώπιση, κατακερματισμός</w:t>
            </w:r>
          </w:p>
        </w:tc>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4DD74EED" w14:textId="01D6D656" w:rsidR="00E63D5B" w:rsidRPr="00132066" w:rsidRDefault="001F059D">
            <w:pPr>
              <w:spacing w:after="40" w:line="240" w:lineRule="auto"/>
              <w:jc w:val="left"/>
              <w:rPr>
                <w:lang w:val="el-GR"/>
              </w:rPr>
            </w:pPr>
            <w:r>
              <w:rPr>
                <w:sz w:val="19"/>
                <w:szCs w:val="19"/>
                <w:lang w:val="el-GR"/>
              </w:rPr>
              <w:t>Συντονισμός των φορέων επάρκεια και ευαισθησία προσωπικού επιλογή επαγγελματία</w:t>
            </w:r>
          </w:p>
        </w:tc>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57FBA9BF" w14:textId="29E943F0" w:rsidR="00E63D5B" w:rsidRPr="00132066" w:rsidRDefault="001F059D">
            <w:pPr>
              <w:spacing w:after="40" w:line="240" w:lineRule="auto"/>
              <w:jc w:val="left"/>
              <w:rPr>
                <w:lang w:val="el-GR"/>
              </w:rPr>
            </w:pPr>
            <w:proofErr w:type="spellStart"/>
            <w:r>
              <w:rPr>
                <w:sz w:val="19"/>
                <w:szCs w:val="19"/>
                <w:lang w:val="el-GR"/>
              </w:rPr>
              <w:t>Πολυτομεακό</w:t>
            </w:r>
            <w:proofErr w:type="spellEnd"/>
            <w:r>
              <w:rPr>
                <w:sz w:val="19"/>
                <w:szCs w:val="19"/>
                <w:lang w:val="el-GR"/>
              </w:rPr>
              <w:t xml:space="preserve"> μοντέλο ·σταθερή χρηματοδότηση κριτήρια ποιότητας</w:t>
            </w:r>
          </w:p>
        </w:tc>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6CABE172" w14:textId="77777777" w:rsidR="00E63D5B" w:rsidRDefault="001F059D">
            <w:pPr>
              <w:spacing w:after="40" w:line="240" w:lineRule="auto"/>
              <w:jc w:val="left"/>
            </w:pPr>
            <w:proofErr w:type="spellStart"/>
            <w:r>
              <w:rPr>
                <w:sz w:val="19"/>
                <w:szCs w:val="19"/>
              </w:rPr>
              <w:t>Συνέχει</w:t>
            </w:r>
            <w:proofErr w:type="spellEnd"/>
            <w:r>
              <w:rPr>
                <w:sz w:val="19"/>
                <w:szCs w:val="19"/>
              </w:rPr>
              <w:t xml:space="preserve">α </w:t>
            </w:r>
            <w:proofErr w:type="spellStart"/>
            <w:r>
              <w:rPr>
                <w:sz w:val="19"/>
                <w:szCs w:val="19"/>
              </w:rPr>
              <w:t>φροντίδ</w:t>
            </w:r>
            <w:proofErr w:type="spellEnd"/>
            <w:r>
              <w:rPr>
                <w:sz w:val="19"/>
                <w:szCs w:val="19"/>
              </w:rPr>
              <w:t>ας</w:t>
            </w:r>
          </w:p>
        </w:tc>
      </w:tr>
      <w:tr w:rsidR="00E63D5B" w:rsidRPr="00D84B1E" w14:paraId="4E233608" w14:textId="77777777">
        <w:trPr>
          <w:cantSplit/>
          <w:jc w:val="center"/>
        </w:trPr>
        <w:tc>
          <w:tcPr>
            <w:tcW w:w="2268" w:type="dxa"/>
            <w:tcBorders>
              <w:top w:val="single" w:sz="4" w:space="0" w:color="BFBFBF"/>
              <w:left w:val="single" w:sz="4" w:space="0" w:color="BFBFBF"/>
              <w:bottom w:val="single" w:sz="4" w:space="0" w:color="BFBFBF"/>
              <w:right w:val="single" w:sz="4" w:space="0" w:color="BFBFBF"/>
            </w:tcBorders>
          </w:tcPr>
          <w:p w14:paraId="00F0A3CA" w14:textId="77777777" w:rsidR="00E63D5B" w:rsidRPr="00132066" w:rsidRDefault="001F059D">
            <w:pPr>
              <w:spacing w:after="40" w:line="240" w:lineRule="auto"/>
              <w:jc w:val="left"/>
              <w:rPr>
                <w:lang w:val="el-GR"/>
              </w:rPr>
            </w:pPr>
            <w:r>
              <w:rPr>
                <w:sz w:val="19"/>
                <w:szCs w:val="19"/>
                <w:lang w:val="el-GR"/>
              </w:rPr>
              <w:t>Χωρίς στέγη, εργασία και φροντίδα παιδιών δεν υπάρχει έξοδος</w:t>
            </w:r>
          </w:p>
        </w:tc>
        <w:tc>
          <w:tcPr>
            <w:tcW w:w="2268" w:type="dxa"/>
            <w:tcBorders>
              <w:top w:val="single" w:sz="4" w:space="0" w:color="BFBFBF"/>
              <w:left w:val="single" w:sz="4" w:space="0" w:color="BFBFBF"/>
              <w:bottom w:val="single" w:sz="4" w:space="0" w:color="BFBFBF"/>
              <w:right w:val="single" w:sz="4" w:space="0" w:color="BFBFBF"/>
            </w:tcBorders>
          </w:tcPr>
          <w:p w14:paraId="2AC83B53" w14:textId="77777777" w:rsidR="00E63D5B" w:rsidRPr="00132066" w:rsidRDefault="001F059D">
            <w:pPr>
              <w:spacing w:after="40" w:line="240" w:lineRule="auto"/>
              <w:jc w:val="left"/>
              <w:rPr>
                <w:lang w:val="el-GR"/>
              </w:rPr>
            </w:pPr>
            <w:r>
              <w:rPr>
                <w:sz w:val="19"/>
                <w:szCs w:val="19"/>
                <w:lang w:val="el-GR"/>
              </w:rPr>
              <w:t>Στέγαση, εύρεση εργασίας, φροντίδα παιδιών ως πυλώνες ενδυνάμωσης</w:t>
            </w:r>
          </w:p>
        </w:tc>
        <w:tc>
          <w:tcPr>
            <w:tcW w:w="2268" w:type="dxa"/>
            <w:tcBorders>
              <w:top w:val="single" w:sz="4" w:space="0" w:color="BFBFBF"/>
              <w:left w:val="single" w:sz="4" w:space="0" w:color="BFBFBF"/>
              <w:bottom w:val="single" w:sz="4" w:space="0" w:color="BFBFBF"/>
              <w:right w:val="single" w:sz="4" w:space="0" w:color="BFBFBF"/>
            </w:tcBorders>
          </w:tcPr>
          <w:p w14:paraId="5E98A8CE" w14:textId="74E0057C" w:rsidR="00E63D5B" w:rsidRPr="00132066" w:rsidRDefault="001F059D">
            <w:pPr>
              <w:spacing w:after="40" w:line="240" w:lineRule="auto"/>
              <w:jc w:val="left"/>
              <w:rPr>
                <w:lang w:val="el-GR"/>
              </w:rPr>
            </w:pPr>
            <w:r>
              <w:rPr>
                <w:sz w:val="19"/>
                <w:szCs w:val="19"/>
                <w:lang w:val="el-GR"/>
              </w:rPr>
              <w:t xml:space="preserve">Πακέτο υλικής </w:t>
            </w:r>
            <w:proofErr w:type="spellStart"/>
            <w:r>
              <w:rPr>
                <w:sz w:val="19"/>
                <w:szCs w:val="19"/>
                <w:lang w:val="el-GR"/>
              </w:rPr>
              <w:t>αποκατάστασης·μεταβατική</w:t>
            </w:r>
            <w:proofErr w:type="spellEnd"/>
            <w:r>
              <w:rPr>
                <w:sz w:val="19"/>
                <w:szCs w:val="19"/>
                <w:lang w:val="el-GR"/>
              </w:rPr>
              <w:t xml:space="preserve"> κατοικία</w:t>
            </w:r>
          </w:p>
        </w:tc>
        <w:tc>
          <w:tcPr>
            <w:tcW w:w="2268" w:type="dxa"/>
            <w:tcBorders>
              <w:top w:val="single" w:sz="4" w:space="0" w:color="BFBFBF"/>
              <w:left w:val="single" w:sz="4" w:space="0" w:color="BFBFBF"/>
              <w:bottom w:val="single" w:sz="4" w:space="0" w:color="BFBFBF"/>
              <w:right w:val="single" w:sz="4" w:space="0" w:color="BFBFBF"/>
            </w:tcBorders>
          </w:tcPr>
          <w:p w14:paraId="2190E162" w14:textId="77777777" w:rsidR="00E63D5B" w:rsidRPr="00132066" w:rsidRDefault="001F059D">
            <w:pPr>
              <w:spacing w:after="40" w:line="240" w:lineRule="auto"/>
              <w:jc w:val="left"/>
              <w:rPr>
                <w:lang w:val="el-GR"/>
              </w:rPr>
            </w:pPr>
            <w:r>
              <w:rPr>
                <w:sz w:val="19"/>
                <w:szCs w:val="19"/>
                <w:lang w:val="el-GR"/>
              </w:rPr>
              <w:t>Αποτροπή επιστροφής στη βίαιη σχέση</w:t>
            </w:r>
          </w:p>
        </w:tc>
      </w:tr>
      <w:tr w:rsidR="00E63D5B" w14:paraId="3E11EB1C" w14:textId="77777777">
        <w:trPr>
          <w:cantSplit/>
          <w:jc w:val="center"/>
        </w:trPr>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37DCAB0C" w14:textId="063FEE13" w:rsidR="00E63D5B" w:rsidRPr="00132066" w:rsidRDefault="001F059D">
            <w:pPr>
              <w:spacing w:after="40" w:line="240" w:lineRule="auto"/>
              <w:jc w:val="left"/>
              <w:rPr>
                <w:lang w:val="el-GR"/>
              </w:rPr>
            </w:pPr>
            <w:r>
              <w:rPr>
                <w:sz w:val="19"/>
                <w:szCs w:val="19"/>
                <w:lang w:val="el-GR"/>
              </w:rPr>
              <w:t xml:space="preserve">Αποκλεισμός αγοριών άνω των 12 και </w:t>
            </w:r>
            <w:proofErr w:type="spellStart"/>
            <w:r>
              <w:rPr>
                <w:sz w:val="19"/>
                <w:szCs w:val="19"/>
                <w:lang w:val="el-GR"/>
              </w:rPr>
              <w:t>κατοικιδίων</w:t>
            </w:r>
            <w:proofErr w:type="spellEnd"/>
            <w:r>
              <w:rPr>
                <w:sz w:val="19"/>
                <w:szCs w:val="19"/>
                <w:lang w:val="el-GR"/>
              </w:rPr>
              <w:t xml:space="preserve"> από τους </w:t>
            </w:r>
            <w:proofErr w:type="spellStart"/>
            <w:r>
              <w:rPr>
                <w:sz w:val="19"/>
                <w:szCs w:val="19"/>
                <w:lang w:val="el-GR"/>
              </w:rPr>
              <w:t>ξενώνες·καμία</w:t>
            </w:r>
            <w:proofErr w:type="spellEnd"/>
            <w:r>
              <w:rPr>
                <w:sz w:val="19"/>
                <w:szCs w:val="19"/>
                <w:lang w:val="el-GR"/>
              </w:rPr>
              <w:t xml:space="preserve"> στήριξη για ηλικιωμένες μετά τη διατροφή καμία δομή για άνδρες-θύματα</w:t>
            </w:r>
          </w:p>
        </w:tc>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279AB28B" w14:textId="5D9D0AB2" w:rsidR="00E63D5B" w:rsidRPr="00132066" w:rsidRDefault="001F059D">
            <w:pPr>
              <w:spacing w:after="40" w:line="240" w:lineRule="auto"/>
              <w:jc w:val="left"/>
              <w:rPr>
                <w:lang w:val="el-GR"/>
              </w:rPr>
            </w:pPr>
            <w:r>
              <w:rPr>
                <w:sz w:val="19"/>
                <w:szCs w:val="19"/>
                <w:lang w:val="el-GR"/>
              </w:rPr>
              <w:t>Άρση των αποκλεισμών διεύρυνση της στήριξης</w:t>
            </w:r>
          </w:p>
        </w:tc>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74C04766" w14:textId="6CB0268D" w:rsidR="00E63D5B" w:rsidRPr="00132066" w:rsidRDefault="001F059D">
            <w:pPr>
              <w:spacing w:after="40" w:line="240" w:lineRule="auto"/>
              <w:jc w:val="left"/>
              <w:rPr>
                <w:lang w:val="el-GR"/>
              </w:rPr>
            </w:pPr>
            <w:r>
              <w:rPr>
                <w:sz w:val="19"/>
                <w:szCs w:val="19"/>
                <w:lang w:val="el-GR"/>
              </w:rPr>
              <w:t xml:space="preserve">Αναθεώρηση κριτηρίων φιλοξενίας ·οικονομική στήριξη </w:t>
            </w:r>
            <w:proofErr w:type="spellStart"/>
            <w:r>
              <w:rPr>
                <w:sz w:val="19"/>
                <w:szCs w:val="19"/>
                <w:lang w:val="el-GR"/>
              </w:rPr>
              <w:t>ηλικιωμένων·υπηρεσίες</w:t>
            </w:r>
            <w:proofErr w:type="spellEnd"/>
            <w:r>
              <w:rPr>
                <w:sz w:val="19"/>
                <w:szCs w:val="19"/>
                <w:lang w:val="el-GR"/>
              </w:rPr>
              <w:t xml:space="preserve"> για άνδρες-θύματα</w:t>
            </w:r>
          </w:p>
        </w:tc>
        <w:tc>
          <w:tcPr>
            <w:tcW w:w="2268" w:type="dxa"/>
            <w:tcBorders>
              <w:top w:val="single" w:sz="4" w:space="0" w:color="BFBFBF"/>
              <w:left w:val="single" w:sz="4" w:space="0" w:color="BFBFBF"/>
              <w:bottom w:val="single" w:sz="4" w:space="0" w:color="BFBFBF"/>
              <w:right w:val="single" w:sz="4" w:space="0" w:color="BFBFBF"/>
            </w:tcBorders>
            <w:shd w:val="clear" w:color="auto" w:fill="F3F6FA"/>
          </w:tcPr>
          <w:p w14:paraId="0F800A25" w14:textId="77777777" w:rsidR="00E63D5B" w:rsidRDefault="001F059D">
            <w:pPr>
              <w:spacing w:after="40" w:line="240" w:lineRule="auto"/>
              <w:jc w:val="left"/>
            </w:pPr>
            <w:r>
              <w:rPr>
                <w:sz w:val="19"/>
                <w:szCs w:val="19"/>
              </w:rPr>
              <w:t>Κα</w:t>
            </w:r>
            <w:proofErr w:type="spellStart"/>
            <w:r>
              <w:rPr>
                <w:sz w:val="19"/>
                <w:szCs w:val="19"/>
              </w:rPr>
              <w:t>νέν</w:t>
            </w:r>
            <w:proofErr w:type="spellEnd"/>
            <w:r>
              <w:rPr>
                <w:sz w:val="19"/>
                <w:szCs w:val="19"/>
              </w:rPr>
              <w:t xml:space="preserve">α </w:t>
            </w:r>
            <w:proofErr w:type="spellStart"/>
            <w:r>
              <w:rPr>
                <w:sz w:val="19"/>
                <w:szCs w:val="19"/>
              </w:rPr>
              <w:t>άτομο</w:t>
            </w:r>
            <w:proofErr w:type="spellEnd"/>
            <w:r>
              <w:rPr>
                <w:sz w:val="19"/>
                <w:szCs w:val="19"/>
              </w:rPr>
              <w:t xml:space="preserve"> </w:t>
            </w:r>
            <w:proofErr w:type="spellStart"/>
            <w:r>
              <w:rPr>
                <w:sz w:val="19"/>
                <w:szCs w:val="19"/>
              </w:rPr>
              <w:t>εκτός</w:t>
            </w:r>
            <w:proofErr w:type="spellEnd"/>
            <w:r>
              <w:rPr>
                <w:sz w:val="19"/>
                <w:szCs w:val="19"/>
              </w:rPr>
              <w:t xml:space="preserve"> π</w:t>
            </w:r>
            <w:proofErr w:type="spellStart"/>
            <w:r>
              <w:rPr>
                <w:sz w:val="19"/>
                <w:szCs w:val="19"/>
              </w:rPr>
              <w:t>ροστ</w:t>
            </w:r>
            <w:proofErr w:type="spellEnd"/>
            <w:r>
              <w:rPr>
                <w:sz w:val="19"/>
                <w:szCs w:val="19"/>
              </w:rPr>
              <w:t>ασίας</w:t>
            </w:r>
          </w:p>
        </w:tc>
      </w:tr>
    </w:tbl>
    <w:p w14:paraId="50755774" w14:textId="77777777" w:rsidR="00E63D5B" w:rsidRDefault="00E63D5B">
      <w:pPr>
        <w:spacing w:after="80"/>
      </w:pPr>
    </w:p>
    <w:p w14:paraId="40A8E584" w14:textId="77777777" w:rsidR="00E63D5B" w:rsidRPr="00132066" w:rsidRDefault="001F059D">
      <w:pPr>
        <w:rPr>
          <w:lang w:val="el-GR"/>
        </w:rPr>
      </w:pPr>
      <w:r>
        <w:rPr>
          <w:lang w:val="el-GR"/>
        </w:rPr>
        <w:t>Ακόμη και οι αρνητικές εμπειρίες που περιέγραψαν οι γυναίκες (η έλλειψη εμπιστοσύνης στα Σώματα Ασφαλείας, η προτροπή της αστυνομίας «να αναλάβει μόνη» την ασφάλειά της, η σύσταση να κρυφτεί με τα παιδιά της έως την ολοκλήρωση της δικαστικής διαδικασίας, με κίνδυνο να χαρακτηριστεί απαγωγή, η αδιαφορία των γειτόνων) πρέπει να διαβαστούν ως δηλωτικές αναγκών που δεν βρήκαν ανταπόκριση. Παρά τις βαθιές συνέπειες της βίας, η δυνατότητα των γυναικών να προσδοκούν και να οραματίζονται έναν ασφαλή συναισθηματικό δεσμό δεν έχει εξαλειφθεί. Σταθερές σχέσεις, ψυχοθεραπεία και η αναγνώριση της τραυματικής εμπειρίας μπορούν να συμβάλουν στην ανασυγκρότησή της (</w:t>
      </w:r>
      <w:proofErr w:type="spellStart"/>
      <w:r>
        <w:t>Mikulincer</w:t>
      </w:r>
      <w:proofErr w:type="spellEnd"/>
      <w:r>
        <w:rPr>
          <w:lang w:val="el-GR"/>
        </w:rPr>
        <w:t xml:space="preserve"> &amp; </w:t>
      </w:r>
      <w:r>
        <w:t>Shaver</w:t>
      </w:r>
      <w:r>
        <w:rPr>
          <w:lang w:val="el-GR"/>
        </w:rPr>
        <w:t>, 2007).</w:t>
      </w:r>
    </w:p>
    <w:tbl>
      <w:tblPr>
        <w:tblStyle w:val="afff8"/>
        <w:tblW w:w="9072" w:type="dxa"/>
        <w:jc w:val="center"/>
        <w:tblLayout w:type="fixed"/>
        <w:tblLook w:val="0400" w:firstRow="0" w:lastRow="0" w:firstColumn="0" w:lastColumn="0" w:noHBand="0" w:noVBand="1"/>
      </w:tblPr>
      <w:tblGrid>
        <w:gridCol w:w="9072"/>
      </w:tblGrid>
      <w:tr w:rsidR="00E63D5B" w:rsidRPr="00D84B1E" w14:paraId="76234DD6" w14:textId="77777777">
        <w:trPr>
          <w:tblHeader/>
          <w:jc w:val="center"/>
        </w:trPr>
        <w:tc>
          <w:tcPr>
            <w:tcW w:w="9072" w:type="dxa"/>
            <w:tcBorders>
              <w:top w:val="single" w:sz="6" w:space="0" w:color="B7C7DE"/>
              <w:left w:val="single" w:sz="6" w:space="0" w:color="B7C7DE"/>
              <w:bottom w:val="single" w:sz="6" w:space="0" w:color="B7C7DE"/>
              <w:right w:val="single" w:sz="6" w:space="0" w:color="B7C7DE"/>
            </w:tcBorders>
            <w:shd w:val="clear" w:color="auto" w:fill="EEF2F8"/>
          </w:tcPr>
          <w:p w14:paraId="2A79D3C5" w14:textId="77777777" w:rsidR="00E63D5B" w:rsidRPr="00132066" w:rsidRDefault="001F059D">
            <w:pPr>
              <w:spacing w:after="80" w:line="264" w:lineRule="auto"/>
              <w:jc w:val="left"/>
              <w:rPr>
                <w:lang w:val="el-GR"/>
              </w:rPr>
            </w:pPr>
            <w:r>
              <w:rPr>
                <w:b/>
                <w:bCs/>
                <w:lang w:val="el-GR"/>
              </w:rPr>
              <w:t>Σύνοψη των προτάσεων</w:t>
            </w:r>
          </w:p>
          <w:p w14:paraId="1EBDE5BD" w14:textId="77777777" w:rsidR="00E63D5B" w:rsidRPr="00132066" w:rsidRDefault="001F059D">
            <w:pPr>
              <w:spacing w:after="80" w:line="264" w:lineRule="auto"/>
              <w:jc w:val="left"/>
              <w:rPr>
                <w:lang w:val="el-GR"/>
              </w:rPr>
            </w:pPr>
            <w:r>
              <w:rPr>
                <w:lang w:val="el-GR"/>
              </w:rPr>
              <w:t xml:space="preserve">Η αντιμετώπιση της ενδοοικογενειακής βίας απαιτεί, σε συμφωνία με τις συστάσεις του </w:t>
            </w:r>
            <w:r>
              <w:t>WHO</w:t>
            </w:r>
            <w:r>
              <w:rPr>
                <w:lang w:val="el-GR"/>
              </w:rPr>
              <w:t xml:space="preserve"> (2021) και τη Σύμβαση της Κωνσταντινούπολης (</w:t>
            </w:r>
            <w:r>
              <w:t>Council</w:t>
            </w:r>
            <w:r>
              <w:rPr>
                <w:lang w:val="el-GR"/>
              </w:rPr>
              <w:t xml:space="preserve"> </w:t>
            </w:r>
            <w:r>
              <w:t>of</w:t>
            </w:r>
            <w:r>
              <w:rPr>
                <w:lang w:val="el-GR"/>
              </w:rPr>
              <w:t xml:space="preserve"> </w:t>
            </w:r>
            <w:r>
              <w:t>Europe</w:t>
            </w:r>
            <w:r>
              <w:rPr>
                <w:lang w:val="el-GR"/>
              </w:rPr>
              <w:t xml:space="preserve">, 2011), ένα </w:t>
            </w:r>
            <w:proofErr w:type="spellStart"/>
            <w:r>
              <w:rPr>
                <w:lang w:val="el-GR"/>
              </w:rPr>
              <w:t>πολυεπίπεδο</w:t>
            </w:r>
            <w:proofErr w:type="spellEnd"/>
            <w:r>
              <w:rPr>
                <w:lang w:val="el-GR"/>
              </w:rPr>
              <w:t xml:space="preserve"> σύστημα πρόληψης, προστασίας και μακροχρόνιας αποκατάστασης: ασφάλεια και μετά τον χωρισμό, φροντίδα ενήμερη ως προς το τραύμα, θεραπευτικό συνεχές χωρίς οριζόντια όρια, υλική αποκατάσταση με σταθερό πρόσωπο αναφοράς, ανεξάρτητη υποστήριξη των παιδιών και της σχέσης μητέρας–παιδιού χωρίς ενοχοποίηση, λογοδοσία των δραστών, ισότιμη πρόσβαση των μεταναστριών, εκπαιδευμένους και συντονισμένους επαγγελματίες, καθολική πρόληψη και εθνικό μηχανισμό δεδομένων και αξιολόγησης. Η διακοπή της </w:t>
            </w:r>
            <w:proofErr w:type="spellStart"/>
            <w:r>
              <w:rPr>
                <w:lang w:val="el-GR"/>
              </w:rPr>
              <w:t>διαγενεακής</w:t>
            </w:r>
            <w:proofErr w:type="spellEnd"/>
            <w:r>
              <w:rPr>
                <w:lang w:val="el-GR"/>
              </w:rPr>
              <w:t xml:space="preserve"> μετάδοσης δεν είναι ευθύνη των μητέρων μόνων </w:t>
            </w:r>
            <w:proofErr w:type="spellStart"/>
            <w:r>
              <w:rPr>
                <w:lang w:val="el-GR"/>
              </w:rPr>
              <w:t>τους·είναι</w:t>
            </w:r>
            <w:proofErr w:type="spellEnd"/>
            <w:r>
              <w:rPr>
                <w:lang w:val="el-GR"/>
              </w:rPr>
              <w:t xml:space="preserve"> συλλογική διαδικασία αποκατάστασης της ασφάλειας, της αυτενέργειας, της εμπιστοσύνης και της σύνδεσης μέσα και γύρω από την οικογένεια.</w:t>
            </w:r>
          </w:p>
        </w:tc>
      </w:tr>
    </w:tbl>
    <w:p w14:paraId="436E0433" w14:textId="77777777" w:rsidR="00E63D5B" w:rsidRPr="00132066" w:rsidRDefault="001F059D">
      <w:pPr>
        <w:pStyle w:val="1"/>
        <w:pageBreakBefore/>
        <w:rPr>
          <w:lang w:val="el-GR"/>
        </w:rPr>
      </w:pPr>
      <w:bookmarkStart w:id="83" w:name="_Toc242134488"/>
      <w:r>
        <w:rPr>
          <w:lang w:val="el-GR"/>
        </w:rPr>
        <w:lastRenderedPageBreak/>
        <w:t>Βιβλιογραφία</w:t>
      </w:r>
      <w:bookmarkEnd w:id="83"/>
    </w:p>
    <w:p w14:paraId="6EA4034C" w14:textId="77777777" w:rsidR="00E63D5B" w:rsidRPr="00132066" w:rsidRDefault="001F059D">
      <w:pPr>
        <w:rPr>
          <w:lang w:val="el-GR"/>
        </w:rPr>
      </w:pPr>
      <w:r>
        <w:rPr>
          <w:lang w:val="el-GR"/>
        </w:rPr>
        <w:t xml:space="preserve">Η βιβλιογραφία περιλαμβάνει αποκλειστικά τις πηγές που παρατίθενται στο κείμενο της Επιτελικής Σύνοψης, σύμφωνα με το πρότυπο </w:t>
      </w:r>
      <w:r>
        <w:t>APA</w:t>
      </w:r>
      <w:r>
        <w:rPr>
          <w:lang w:val="el-GR"/>
        </w:rPr>
        <w:t xml:space="preserve"> (7η έκδοση). Οι παραπομπές αντλούνται από τα αντίστοιχα σημεία της πλήρους έκθεσης, η οποία περιλαμβάνει την πλήρη βιβλιογραφία της έρευνας (περισσότερες από 600 αναφορές).</w:t>
      </w:r>
    </w:p>
    <w:p w14:paraId="251F7498" w14:textId="77777777" w:rsidR="00E63D5B" w:rsidRPr="00132066" w:rsidRDefault="001F059D">
      <w:pPr>
        <w:pStyle w:val="20"/>
        <w:rPr>
          <w:lang w:val="el-GR"/>
        </w:rPr>
      </w:pPr>
      <w:bookmarkStart w:id="84" w:name="_Toc242134489"/>
      <w:r>
        <w:rPr>
          <w:lang w:val="el-GR"/>
        </w:rPr>
        <w:t>Ελληνόγλωσση</w:t>
      </w:r>
      <w:bookmarkEnd w:id="84"/>
    </w:p>
    <w:p w14:paraId="42C8B9F8" w14:textId="77777777" w:rsidR="00E63D5B" w:rsidRPr="00132066" w:rsidRDefault="001F059D">
      <w:pPr>
        <w:spacing w:after="80" w:line="240" w:lineRule="auto"/>
        <w:ind w:left="567" w:hanging="567"/>
        <w:jc w:val="left"/>
        <w:rPr>
          <w:lang w:val="el-GR"/>
        </w:rPr>
      </w:pPr>
      <w:r>
        <w:rPr>
          <w:sz w:val="20"/>
          <w:szCs w:val="20"/>
          <w:lang w:val="el-GR"/>
        </w:rPr>
        <w:t xml:space="preserve">Γενική Γραμματεία Ισότητας και Ανθρωπίνων Δικαιωμάτων [ΓΓΙΑΔ]. (2023). </w:t>
      </w:r>
      <w:r>
        <w:rPr>
          <w:i/>
          <w:iCs/>
          <w:sz w:val="20"/>
          <w:szCs w:val="20"/>
          <w:lang w:val="el-GR"/>
        </w:rPr>
        <w:t>4η ετήσια έκθεση για τη βία κατά των γυναικών</w:t>
      </w:r>
      <w:r>
        <w:rPr>
          <w:sz w:val="20"/>
          <w:szCs w:val="20"/>
          <w:lang w:val="el-GR"/>
        </w:rPr>
        <w:t>. Υπουργείο Κοινωνικής Συνοχής και Οικογένειας.</w:t>
      </w:r>
    </w:p>
    <w:p w14:paraId="29933543" w14:textId="77777777" w:rsidR="00E63D5B" w:rsidRPr="00132066" w:rsidRDefault="001F059D">
      <w:pPr>
        <w:spacing w:after="80" w:line="240" w:lineRule="auto"/>
        <w:ind w:left="567" w:hanging="567"/>
        <w:jc w:val="left"/>
        <w:rPr>
          <w:lang w:val="el-GR"/>
        </w:rPr>
      </w:pPr>
      <w:r>
        <w:rPr>
          <w:sz w:val="20"/>
          <w:szCs w:val="20"/>
          <w:lang w:val="el-GR"/>
        </w:rPr>
        <w:t xml:space="preserve">Γενική Γραμματεία Ισότητας και Ανθρωπίνων Δικαιωμάτων [ΓΓΙΑΔ]. (2026). </w:t>
      </w:r>
      <w:r>
        <w:rPr>
          <w:i/>
          <w:iCs/>
          <w:sz w:val="20"/>
          <w:szCs w:val="20"/>
          <w:lang w:val="el-GR"/>
        </w:rPr>
        <w:t>6η ετήσια έκθεση για τη βία κατά των γυναικών</w:t>
      </w:r>
      <w:r>
        <w:rPr>
          <w:sz w:val="20"/>
          <w:szCs w:val="20"/>
          <w:lang w:val="el-GR"/>
        </w:rPr>
        <w:t>. Υπουργείο Κοινωνικής Συνοχής και Οικογένειας.</w:t>
      </w:r>
    </w:p>
    <w:p w14:paraId="0F6F20D6" w14:textId="77777777" w:rsidR="00E63D5B" w:rsidRPr="00132066" w:rsidRDefault="001F059D">
      <w:pPr>
        <w:spacing w:after="80" w:line="240" w:lineRule="auto"/>
        <w:ind w:left="567" w:hanging="567"/>
        <w:jc w:val="left"/>
        <w:rPr>
          <w:lang w:val="el-GR"/>
        </w:rPr>
      </w:pPr>
      <w:r>
        <w:rPr>
          <w:sz w:val="20"/>
          <w:szCs w:val="20"/>
          <w:lang w:val="el-GR"/>
        </w:rPr>
        <w:t xml:space="preserve">Γενική Γραμματεία Οικογενειακής Πολιτικής και Ισότητας των Φύλων [ΓΓΟΠΙΦ]. (2020). </w:t>
      </w:r>
      <w:r>
        <w:rPr>
          <w:i/>
          <w:iCs/>
          <w:sz w:val="20"/>
          <w:szCs w:val="20"/>
          <w:lang w:val="el-GR"/>
        </w:rPr>
        <w:t xml:space="preserve">Διμηνιαίο ενημερωτικό δελτίο #1: Πολιτικές ισότητας των φύλων στην περίοδο της πανδημίας </w:t>
      </w:r>
      <w:r>
        <w:rPr>
          <w:i/>
          <w:iCs/>
          <w:sz w:val="20"/>
          <w:szCs w:val="20"/>
        </w:rPr>
        <w:t>COVID</w:t>
      </w:r>
      <w:r>
        <w:rPr>
          <w:i/>
          <w:iCs/>
          <w:sz w:val="20"/>
          <w:szCs w:val="20"/>
          <w:lang w:val="el-GR"/>
        </w:rPr>
        <w:t>-19</w:t>
      </w:r>
      <w:r>
        <w:rPr>
          <w:sz w:val="20"/>
          <w:szCs w:val="20"/>
          <w:lang w:val="el-GR"/>
        </w:rPr>
        <w:t>. Υπουργείο Εργασίας και Κοινωνικών Υποθέσεων.</w:t>
      </w:r>
    </w:p>
    <w:p w14:paraId="354B6EE2" w14:textId="77777777" w:rsidR="00E63D5B" w:rsidRPr="00132066" w:rsidRDefault="001F059D">
      <w:pPr>
        <w:spacing w:after="80" w:line="240" w:lineRule="auto"/>
        <w:ind w:left="567" w:hanging="567"/>
        <w:jc w:val="left"/>
        <w:rPr>
          <w:lang w:val="el-GR"/>
        </w:rPr>
      </w:pPr>
      <w:proofErr w:type="spellStart"/>
      <w:r>
        <w:rPr>
          <w:sz w:val="20"/>
          <w:szCs w:val="20"/>
          <w:lang w:val="el-GR"/>
        </w:rPr>
        <w:t>Γιωτάκος</w:t>
      </w:r>
      <w:proofErr w:type="spellEnd"/>
      <w:r>
        <w:rPr>
          <w:sz w:val="20"/>
          <w:szCs w:val="20"/>
          <w:lang w:val="el-GR"/>
        </w:rPr>
        <w:t>, Ο. (2006). Σεξουαλική Κακοποίηση: μυστικό; Όχι πια! Ελληνική Εταιρεία Μελέτης και Πρόληψης της Σεξουαλικής Κακοποίησης. Ελληνικά Γράμματα.</w:t>
      </w:r>
    </w:p>
    <w:p w14:paraId="29E9B656" w14:textId="77777777" w:rsidR="00E63D5B" w:rsidRPr="00132066" w:rsidRDefault="001F059D">
      <w:pPr>
        <w:spacing w:after="80" w:line="240" w:lineRule="auto"/>
        <w:ind w:left="567" w:hanging="567"/>
        <w:jc w:val="left"/>
        <w:rPr>
          <w:lang w:val="el-GR"/>
        </w:rPr>
      </w:pPr>
      <w:r>
        <w:rPr>
          <w:sz w:val="20"/>
          <w:szCs w:val="20"/>
          <w:lang w:val="el-GR"/>
        </w:rPr>
        <w:t xml:space="preserve">Δρούγα, Κ., </w:t>
      </w:r>
      <w:proofErr w:type="spellStart"/>
      <w:r>
        <w:rPr>
          <w:sz w:val="20"/>
          <w:szCs w:val="20"/>
          <w:lang w:val="el-GR"/>
        </w:rPr>
        <w:t>Παπαθανασίου</w:t>
      </w:r>
      <w:proofErr w:type="spellEnd"/>
      <w:r>
        <w:rPr>
          <w:sz w:val="20"/>
          <w:szCs w:val="20"/>
          <w:lang w:val="el-GR"/>
        </w:rPr>
        <w:t xml:space="preserve">, Μ., &amp; </w:t>
      </w:r>
      <w:proofErr w:type="spellStart"/>
      <w:r>
        <w:rPr>
          <w:sz w:val="20"/>
          <w:szCs w:val="20"/>
          <w:lang w:val="el-GR"/>
        </w:rPr>
        <w:t>Τσονίδης</w:t>
      </w:r>
      <w:proofErr w:type="spellEnd"/>
      <w:r>
        <w:rPr>
          <w:sz w:val="20"/>
          <w:szCs w:val="20"/>
          <w:lang w:val="el-GR"/>
        </w:rPr>
        <w:t xml:space="preserve">, Α. (2001, Μάιος). Θύμα ή Επιζώσα; Η Ρητορική Κατασκευή Ταυτοτήτων στη Συμβουλευτική για την Κακοποίηση Γυναικών. Κέντρο Ερευνών για Θέματα Ισότητας (ΚΕΘΙ). </w:t>
      </w:r>
      <w:r>
        <w:rPr>
          <w:sz w:val="20"/>
          <w:szCs w:val="20"/>
        </w:rPr>
        <w:t>https</w:t>
      </w:r>
      <w:r>
        <w:rPr>
          <w:sz w:val="20"/>
          <w:szCs w:val="20"/>
          <w:lang w:val="el-GR"/>
        </w:rPr>
        <w:t>://</w:t>
      </w:r>
      <w:r>
        <w:rPr>
          <w:sz w:val="20"/>
          <w:szCs w:val="20"/>
        </w:rPr>
        <w:t>www</w:t>
      </w:r>
      <w:r>
        <w:rPr>
          <w:sz w:val="20"/>
          <w:szCs w:val="20"/>
          <w:lang w:val="el-GR"/>
        </w:rPr>
        <w:t>.</w:t>
      </w:r>
      <w:proofErr w:type="spellStart"/>
      <w:r>
        <w:rPr>
          <w:sz w:val="20"/>
          <w:szCs w:val="20"/>
        </w:rPr>
        <w:t>kethi</w:t>
      </w:r>
      <w:proofErr w:type="spellEnd"/>
      <w:r>
        <w:rPr>
          <w:sz w:val="20"/>
          <w:szCs w:val="20"/>
          <w:lang w:val="el-GR"/>
        </w:rPr>
        <w:t>.</w:t>
      </w:r>
      <w:r>
        <w:rPr>
          <w:sz w:val="20"/>
          <w:szCs w:val="20"/>
        </w:rPr>
        <w:t>gr</w:t>
      </w:r>
      <w:r>
        <w:rPr>
          <w:sz w:val="20"/>
          <w:szCs w:val="20"/>
          <w:lang w:val="el-GR"/>
        </w:rPr>
        <w:t>/</w:t>
      </w:r>
      <w:r>
        <w:rPr>
          <w:sz w:val="20"/>
          <w:szCs w:val="20"/>
        </w:rPr>
        <w:t>sites</w:t>
      </w:r>
      <w:r>
        <w:rPr>
          <w:sz w:val="20"/>
          <w:szCs w:val="20"/>
          <w:lang w:val="el-GR"/>
        </w:rPr>
        <w:t>/</w:t>
      </w:r>
      <w:r>
        <w:rPr>
          <w:sz w:val="20"/>
          <w:szCs w:val="20"/>
        </w:rPr>
        <w:t>default</w:t>
      </w:r>
      <w:r>
        <w:rPr>
          <w:sz w:val="20"/>
          <w:szCs w:val="20"/>
          <w:lang w:val="el-GR"/>
        </w:rPr>
        <w:t>/</w:t>
      </w:r>
      <w:r>
        <w:rPr>
          <w:sz w:val="20"/>
          <w:szCs w:val="20"/>
        </w:rPr>
        <w:t>files</w:t>
      </w:r>
      <w:r>
        <w:rPr>
          <w:sz w:val="20"/>
          <w:szCs w:val="20"/>
          <w:lang w:val="el-GR"/>
        </w:rPr>
        <w:t>/</w:t>
      </w:r>
      <w:proofErr w:type="spellStart"/>
      <w:r>
        <w:rPr>
          <w:sz w:val="20"/>
          <w:szCs w:val="20"/>
        </w:rPr>
        <w:t>wpcontent</w:t>
      </w:r>
      <w:proofErr w:type="spellEnd"/>
      <w:r>
        <w:rPr>
          <w:sz w:val="20"/>
          <w:szCs w:val="20"/>
          <w:lang w:val="el-GR"/>
        </w:rPr>
        <w:t>/</w:t>
      </w:r>
      <w:r>
        <w:rPr>
          <w:sz w:val="20"/>
          <w:szCs w:val="20"/>
        </w:rPr>
        <w:t>uploads</w:t>
      </w:r>
      <w:r>
        <w:rPr>
          <w:sz w:val="20"/>
          <w:szCs w:val="20"/>
          <w:lang w:val="el-GR"/>
        </w:rPr>
        <w:t>/2009/07/169_</w:t>
      </w:r>
      <w:r>
        <w:rPr>
          <w:sz w:val="20"/>
          <w:szCs w:val="20"/>
        </w:rPr>
        <w:t>ENDOOIKOGENEIAKI</w:t>
      </w:r>
      <w:r>
        <w:rPr>
          <w:sz w:val="20"/>
          <w:szCs w:val="20"/>
          <w:lang w:val="el-GR"/>
        </w:rPr>
        <w:t>_</w:t>
      </w:r>
      <w:r>
        <w:rPr>
          <w:sz w:val="20"/>
          <w:szCs w:val="20"/>
        </w:rPr>
        <w:t>VIA</w:t>
      </w:r>
      <w:r>
        <w:rPr>
          <w:sz w:val="20"/>
          <w:szCs w:val="20"/>
          <w:lang w:val="el-GR"/>
        </w:rPr>
        <w:t>_</w:t>
      </w:r>
      <w:r>
        <w:rPr>
          <w:sz w:val="20"/>
          <w:szCs w:val="20"/>
        </w:rPr>
        <w:t>EPIZOSA</w:t>
      </w:r>
      <w:r>
        <w:rPr>
          <w:sz w:val="20"/>
          <w:szCs w:val="20"/>
          <w:lang w:val="el-GR"/>
        </w:rPr>
        <w:t>.</w:t>
      </w:r>
      <w:r>
        <w:rPr>
          <w:sz w:val="20"/>
          <w:szCs w:val="20"/>
        </w:rPr>
        <w:t>pdf</w:t>
      </w:r>
    </w:p>
    <w:p w14:paraId="0604B9BE" w14:textId="77777777" w:rsidR="00E63D5B" w:rsidRPr="00132066" w:rsidRDefault="001F059D">
      <w:pPr>
        <w:spacing w:after="80" w:line="240" w:lineRule="auto"/>
        <w:ind w:left="567" w:hanging="567"/>
        <w:jc w:val="left"/>
        <w:rPr>
          <w:lang w:val="el-GR"/>
        </w:rPr>
      </w:pPr>
      <w:r>
        <w:rPr>
          <w:sz w:val="20"/>
          <w:szCs w:val="20"/>
          <w:lang w:val="el-GR"/>
        </w:rPr>
        <w:t xml:space="preserve">Ελληνική Αστυνομία [ΕΛ.ΑΣ.]. (2026). </w:t>
      </w:r>
      <w:r>
        <w:rPr>
          <w:i/>
          <w:iCs/>
          <w:sz w:val="20"/>
          <w:szCs w:val="20"/>
          <w:lang w:val="el-GR"/>
        </w:rPr>
        <w:t>Στατιστική επετηρίδα 2025</w:t>
      </w:r>
      <w:r>
        <w:rPr>
          <w:sz w:val="20"/>
          <w:szCs w:val="20"/>
          <w:lang w:val="el-GR"/>
        </w:rPr>
        <w:t xml:space="preserve">. Διεύθυνση Πληροφοριακών Συστημάτων και Ψηφιακής Διακυβέρνησης. </w:t>
      </w:r>
      <w:r>
        <w:rPr>
          <w:sz w:val="20"/>
          <w:szCs w:val="20"/>
        </w:rPr>
        <w:t>https</w:t>
      </w:r>
      <w:r w:rsidRPr="000B7AA5">
        <w:rPr>
          <w:sz w:val="20"/>
          <w:szCs w:val="20"/>
          <w:lang w:val="el-GR"/>
        </w:rPr>
        <w:t>://</w:t>
      </w:r>
      <w:r>
        <w:rPr>
          <w:sz w:val="20"/>
          <w:szCs w:val="20"/>
        </w:rPr>
        <w:t>www</w:t>
      </w:r>
      <w:r w:rsidRPr="000B7AA5">
        <w:rPr>
          <w:sz w:val="20"/>
          <w:szCs w:val="20"/>
          <w:lang w:val="el-GR"/>
        </w:rPr>
        <w:t>.</w:t>
      </w:r>
      <w:proofErr w:type="spellStart"/>
      <w:r>
        <w:rPr>
          <w:sz w:val="20"/>
          <w:szCs w:val="20"/>
        </w:rPr>
        <w:t>astynomia</w:t>
      </w:r>
      <w:proofErr w:type="spellEnd"/>
      <w:r w:rsidRPr="000B7AA5">
        <w:rPr>
          <w:sz w:val="20"/>
          <w:szCs w:val="20"/>
          <w:lang w:val="el-GR"/>
        </w:rPr>
        <w:t>.</w:t>
      </w:r>
      <w:r>
        <w:rPr>
          <w:sz w:val="20"/>
          <w:szCs w:val="20"/>
        </w:rPr>
        <w:t>gr</w:t>
      </w:r>
      <w:r w:rsidRPr="000B7AA5">
        <w:rPr>
          <w:sz w:val="20"/>
          <w:szCs w:val="20"/>
          <w:lang w:val="el-GR"/>
        </w:rPr>
        <w:t>/</w:t>
      </w:r>
      <w:r>
        <w:rPr>
          <w:sz w:val="20"/>
          <w:szCs w:val="20"/>
        </w:rPr>
        <w:t>file</w:t>
      </w:r>
      <w:r w:rsidRPr="000B7AA5">
        <w:rPr>
          <w:sz w:val="20"/>
          <w:szCs w:val="20"/>
          <w:lang w:val="el-GR"/>
        </w:rPr>
        <w:t>/2026/02/</w:t>
      </w:r>
      <w:proofErr w:type="spellStart"/>
      <w:r>
        <w:rPr>
          <w:sz w:val="20"/>
          <w:szCs w:val="20"/>
        </w:rPr>
        <w:t>epetirida</w:t>
      </w:r>
      <w:proofErr w:type="spellEnd"/>
      <w:r w:rsidRPr="000B7AA5">
        <w:rPr>
          <w:sz w:val="20"/>
          <w:szCs w:val="20"/>
          <w:lang w:val="el-GR"/>
        </w:rPr>
        <w:t>2025.</w:t>
      </w:r>
      <w:r>
        <w:rPr>
          <w:sz w:val="20"/>
          <w:szCs w:val="20"/>
        </w:rPr>
        <w:t>pdf</w:t>
      </w:r>
    </w:p>
    <w:p w14:paraId="7E565FD9" w14:textId="77777777" w:rsidR="00E63D5B" w:rsidRPr="00132066" w:rsidRDefault="001F059D">
      <w:pPr>
        <w:spacing w:after="80" w:line="240" w:lineRule="auto"/>
        <w:ind w:left="567" w:hanging="567"/>
        <w:jc w:val="left"/>
        <w:rPr>
          <w:lang w:val="el-GR"/>
        </w:rPr>
      </w:pPr>
      <w:proofErr w:type="spellStart"/>
      <w:r>
        <w:rPr>
          <w:sz w:val="20"/>
          <w:szCs w:val="20"/>
          <w:lang w:val="el-GR"/>
        </w:rPr>
        <w:t>Ζερέ</w:t>
      </w:r>
      <w:proofErr w:type="spellEnd"/>
      <w:r>
        <w:rPr>
          <w:sz w:val="20"/>
          <w:szCs w:val="20"/>
          <w:lang w:val="el-GR"/>
        </w:rPr>
        <w:t xml:space="preserve">, Ε., &amp; </w:t>
      </w:r>
      <w:proofErr w:type="spellStart"/>
      <w:r>
        <w:rPr>
          <w:sz w:val="20"/>
          <w:szCs w:val="20"/>
          <w:lang w:val="el-GR"/>
        </w:rPr>
        <w:t>Χατζηφωτίου</w:t>
      </w:r>
      <w:proofErr w:type="spellEnd"/>
      <w:r>
        <w:rPr>
          <w:sz w:val="20"/>
          <w:szCs w:val="20"/>
          <w:lang w:val="el-GR"/>
        </w:rPr>
        <w:t xml:space="preserve">, Σ. (2024). Μια συγκριτική προσέγγιση της συντροφικής βίας στις ΛΟΑΤΚΙ+ και ετερόφυλες σχέσεις: Ο ρόλος της κοινωνικής εργασίας. </w:t>
      </w:r>
      <w:r>
        <w:rPr>
          <w:i/>
          <w:iCs/>
          <w:sz w:val="20"/>
          <w:szCs w:val="20"/>
          <w:lang w:val="el-GR"/>
        </w:rPr>
        <w:t>Κοινωνική Εργασία. Επιθεώρηση Κοινωνικών Επιστημών, 38</w:t>
      </w:r>
      <w:r>
        <w:rPr>
          <w:sz w:val="20"/>
          <w:szCs w:val="20"/>
          <w:lang w:val="el-GR"/>
        </w:rPr>
        <w:t xml:space="preserve">(4), 56–76. </w:t>
      </w:r>
      <w:r>
        <w:rPr>
          <w:sz w:val="20"/>
          <w:szCs w:val="20"/>
        </w:rPr>
        <w:t>https</w:t>
      </w:r>
      <w:r>
        <w:rPr>
          <w:sz w:val="20"/>
          <w:szCs w:val="20"/>
          <w:lang w:val="el-GR"/>
        </w:rPr>
        <w:t>://</w:t>
      </w:r>
      <w:proofErr w:type="spellStart"/>
      <w:r>
        <w:rPr>
          <w:sz w:val="20"/>
          <w:szCs w:val="20"/>
        </w:rPr>
        <w:t>doi</w:t>
      </w:r>
      <w:proofErr w:type="spellEnd"/>
      <w:r>
        <w:rPr>
          <w:sz w:val="20"/>
          <w:szCs w:val="20"/>
          <w:lang w:val="el-GR"/>
        </w:rPr>
        <w:t>.</w:t>
      </w:r>
      <w:r>
        <w:rPr>
          <w:sz w:val="20"/>
          <w:szCs w:val="20"/>
        </w:rPr>
        <w:t>org</w:t>
      </w:r>
      <w:r>
        <w:rPr>
          <w:sz w:val="20"/>
          <w:szCs w:val="20"/>
          <w:lang w:val="el-GR"/>
        </w:rPr>
        <w:t>/10.12681/</w:t>
      </w:r>
      <w:proofErr w:type="spellStart"/>
      <w:r>
        <w:rPr>
          <w:sz w:val="20"/>
          <w:szCs w:val="20"/>
        </w:rPr>
        <w:t>socialwork</w:t>
      </w:r>
      <w:proofErr w:type="spellEnd"/>
      <w:r>
        <w:rPr>
          <w:sz w:val="20"/>
          <w:szCs w:val="20"/>
          <w:lang w:val="el-GR"/>
        </w:rPr>
        <w:t>-</w:t>
      </w:r>
      <w:proofErr w:type="spellStart"/>
      <w:r>
        <w:rPr>
          <w:sz w:val="20"/>
          <w:szCs w:val="20"/>
        </w:rPr>
        <w:t>rss</w:t>
      </w:r>
      <w:proofErr w:type="spellEnd"/>
      <w:r>
        <w:rPr>
          <w:sz w:val="20"/>
          <w:szCs w:val="20"/>
          <w:lang w:val="el-GR"/>
        </w:rPr>
        <w:t>.38399</w:t>
      </w:r>
    </w:p>
    <w:p w14:paraId="52A80004" w14:textId="77777777" w:rsidR="00E63D5B" w:rsidRPr="00132066" w:rsidRDefault="001F059D">
      <w:pPr>
        <w:spacing w:after="80" w:line="240" w:lineRule="auto"/>
        <w:ind w:left="567" w:hanging="567"/>
        <w:jc w:val="left"/>
        <w:rPr>
          <w:lang w:val="el-GR"/>
        </w:rPr>
      </w:pPr>
      <w:r>
        <w:rPr>
          <w:sz w:val="20"/>
          <w:szCs w:val="20"/>
          <w:lang w:val="el-GR"/>
        </w:rPr>
        <w:t xml:space="preserve">Κέντρο Μελετών Ασφάλειας [ΚΕΜΕΑ]. (2017). </w:t>
      </w:r>
      <w:r>
        <w:rPr>
          <w:i/>
          <w:iCs/>
          <w:sz w:val="20"/>
          <w:szCs w:val="20"/>
          <w:lang w:val="el-GR"/>
        </w:rPr>
        <w:t xml:space="preserve">Πρόγραμμα </w:t>
      </w:r>
      <w:r>
        <w:rPr>
          <w:i/>
          <w:iCs/>
          <w:sz w:val="20"/>
          <w:szCs w:val="20"/>
        </w:rPr>
        <w:t>ARIADNE</w:t>
      </w:r>
      <w:r>
        <w:rPr>
          <w:i/>
          <w:iCs/>
          <w:sz w:val="20"/>
          <w:szCs w:val="20"/>
          <w:lang w:val="el-GR"/>
        </w:rPr>
        <w:t>: Εκπαίδευση, δικτύωση και δράση για την αντιμετώπιση της ενδοοικογενειακής βίας</w:t>
      </w:r>
      <w:r>
        <w:rPr>
          <w:sz w:val="20"/>
          <w:szCs w:val="20"/>
          <w:lang w:val="el-GR"/>
        </w:rPr>
        <w:t xml:space="preserve"> [Τελική αναφορά]. ΚΕΜΕΑ.</w:t>
      </w:r>
    </w:p>
    <w:p w14:paraId="121580C8" w14:textId="77777777" w:rsidR="00E63D5B" w:rsidRPr="00132066" w:rsidRDefault="001F059D">
      <w:pPr>
        <w:spacing w:after="80" w:line="240" w:lineRule="auto"/>
        <w:ind w:left="567" w:hanging="567"/>
        <w:jc w:val="left"/>
        <w:rPr>
          <w:lang w:val="el-GR"/>
        </w:rPr>
      </w:pPr>
      <w:r>
        <w:rPr>
          <w:sz w:val="20"/>
          <w:szCs w:val="20"/>
          <w:lang w:val="el-GR"/>
        </w:rPr>
        <w:t xml:space="preserve">Σταλίκας, Α. (2005). </w:t>
      </w:r>
      <w:r>
        <w:rPr>
          <w:i/>
          <w:iCs/>
          <w:sz w:val="20"/>
          <w:szCs w:val="20"/>
          <w:lang w:val="el-GR"/>
        </w:rPr>
        <w:t>Μέθοδοι έρευνας στην Ψυχολογία.</w:t>
      </w:r>
      <w:r>
        <w:rPr>
          <w:sz w:val="20"/>
          <w:szCs w:val="20"/>
          <w:lang w:val="el-GR"/>
        </w:rPr>
        <w:t xml:space="preserve"> Ελληνικά Γράμματα.</w:t>
      </w:r>
    </w:p>
    <w:p w14:paraId="5DFA3EA3" w14:textId="77777777" w:rsidR="00E63D5B" w:rsidRPr="00132066" w:rsidRDefault="001F059D">
      <w:pPr>
        <w:spacing w:after="80" w:line="240" w:lineRule="auto"/>
        <w:ind w:left="567" w:hanging="567"/>
        <w:jc w:val="left"/>
        <w:rPr>
          <w:lang w:val="el-GR"/>
        </w:rPr>
      </w:pPr>
      <w:proofErr w:type="spellStart"/>
      <w:r>
        <w:rPr>
          <w:sz w:val="20"/>
          <w:szCs w:val="20"/>
          <w:lang w:val="el-GR"/>
        </w:rPr>
        <w:t>Τάνταρος</w:t>
      </w:r>
      <w:proofErr w:type="spellEnd"/>
      <w:r>
        <w:rPr>
          <w:sz w:val="20"/>
          <w:szCs w:val="20"/>
          <w:lang w:val="el-GR"/>
        </w:rPr>
        <w:t xml:space="preserve">, Σ., Παυλόπουλος, Β., &amp; Μπεζεβέγκης, Η. (2016, Μάρτιος 5). </w:t>
      </w:r>
      <w:r>
        <w:rPr>
          <w:i/>
          <w:iCs/>
          <w:sz w:val="20"/>
          <w:szCs w:val="20"/>
          <w:lang w:val="el-GR"/>
        </w:rPr>
        <w:t>Γονικές πρακτικές και διαμόρφωση της ταυτότητας στην εφηβεία</w:t>
      </w:r>
      <w:r>
        <w:rPr>
          <w:sz w:val="20"/>
          <w:szCs w:val="20"/>
          <w:lang w:val="el-GR"/>
        </w:rPr>
        <w:t xml:space="preserve"> [Παρουσίαση Ημερίδας]. Ημερίδα «Εφηβεία και αναδυόμενη ενηλικίωση», Κλάδος Αναπτυξιακής Ψυχολογίας της Ελληνικής Ψυχολογικής Εταιρείας.</w:t>
      </w:r>
    </w:p>
    <w:p w14:paraId="6441E614" w14:textId="77777777" w:rsidR="00E63D5B" w:rsidRPr="00132066" w:rsidRDefault="001F059D">
      <w:pPr>
        <w:spacing w:after="80" w:line="240" w:lineRule="auto"/>
        <w:ind w:left="567" w:hanging="567"/>
        <w:jc w:val="left"/>
        <w:rPr>
          <w:lang w:val="el-GR"/>
        </w:rPr>
      </w:pPr>
      <w:r>
        <w:rPr>
          <w:sz w:val="20"/>
          <w:szCs w:val="20"/>
          <w:lang w:val="el-GR"/>
        </w:rPr>
        <w:t xml:space="preserve">Τσίγκανου, Ι. (2021). </w:t>
      </w:r>
      <w:r>
        <w:rPr>
          <w:i/>
          <w:iCs/>
          <w:sz w:val="20"/>
          <w:szCs w:val="20"/>
          <w:lang w:val="el-GR"/>
        </w:rPr>
        <w:t>Κοινωνικές αναπαραστάσεις, πεποιθήσεις και στερεότυπα για την ενδοοικογενειακή βία κατά των γυναικών στην Ελλάδα: Τελική έκθεση αποτελεσμάτων – Επιτελική σύνοψη</w:t>
      </w:r>
      <w:r>
        <w:rPr>
          <w:sz w:val="20"/>
          <w:szCs w:val="20"/>
          <w:lang w:val="el-GR"/>
        </w:rPr>
        <w:t>. Εθνικό Κέντρο Κοινωνικών Ερευνών.</w:t>
      </w:r>
    </w:p>
    <w:p w14:paraId="4F247890" w14:textId="77777777" w:rsidR="00E63D5B" w:rsidRPr="00132066" w:rsidRDefault="001F059D">
      <w:pPr>
        <w:spacing w:after="80" w:line="240" w:lineRule="auto"/>
        <w:ind w:left="567" w:hanging="567"/>
        <w:jc w:val="left"/>
        <w:rPr>
          <w:lang w:val="el-GR"/>
        </w:rPr>
      </w:pPr>
      <w:r>
        <w:rPr>
          <w:sz w:val="20"/>
          <w:szCs w:val="20"/>
          <w:lang w:val="el-GR"/>
        </w:rPr>
        <w:t xml:space="preserve">Υπουργείο Κοινωνικής Συνοχής και Οικογένειας. (2024). </w:t>
      </w:r>
      <w:r>
        <w:rPr>
          <w:i/>
          <w:iCs/>
          <w:sz w:val="20"/>
          <w:szCs w:val="20"/>
          <w:lang w:val="el-GR"/>
        </w:rPr>
        <w:t>Δίκτυο δομών για την πρόληψη και αντιμετώπιση της βίας κατά των γυναικών</w:t>
      </w:r>
      <w:r>
        <w:rPr>
          <w:sz w:val="20"/>
          <w:szCs w:val="20"/>
          <w:lang w:val="el-GR"/>
        </w:rPr>
        <w:t xml:space="preserve">. Ανακτήθηκε από </w:t>
      </w:r>
      <w:r>
        <w:rPr>
          <w:sz w:val="20"/>
          <w:szCs w:val="20"/>
        </w:rPr>
        <w:t>https</w:t>
      </w:r>
      <w:r>
        <w:rPr>
          <w:sz w:val="20"/>
          <w:szCs w:val="20"/>
          <w:lang w:val="el-GR"/>
        </w:rPr>
        <w:t>://</w:t>
      </w:r>
      <w:r>
        <w:rPr>
          <w:sz w:val="20"/>
          <w:szCs w:val="20"/>
        </w:rPr>
        <w:t>www</w:t>
      </w:r>
      <w:r>
        <w:rPr>
          <w:sz w:val="20"/>
          <w:szCs w:val="20"/>
          <w:lang w:val="el-GR"/>
        </w:rPr>
        <w:t>.</w:t>
      </w:r>
      <w:proofErr w:type="spellStart"/>
      <w:r>
        <w:rPr>
          <w:sz w:val="20"/>
          <w:szCs w:val="20"/>
        </w:rPr>
        <w:t>minscfa</w:t>
      </w:r>
      <w:proofErr w:type="spellEnd"/>
      <w:r>
        <w:rPr>
          <w:sz w:val="20"/>
          <w:szCs w:val="20"/>
          <w:lang w:val="el-GR"/>
        </w:rPr>
        <w:t>.</w:t>
      </w:r>
      <w:r>
        <w:rPr>
          <w:sz w:val="20"/>
          <w:szCs w:val="20"/>
        </w:rPr>
        <w:t>gov</w:t>
      </w:r>
      <w:r>
        <w:rPr>
          <w:sz w:val="20"/>
          <w:szCs w:val="20"/>
          <w:lang w:val="el-GR"/>
        </w:rPr>
        <w:t>.</w:t>
      </w:r>
      <w:r>
        <w:rPr>
          <w:sz w:val="20"/>
          <w:szCs w:val="20"/>
        </w:rPr>
        <w:t>g</w:t>
      </w:r>
    </w:p>
    <w:p w14:paraId="45320A59" w14:textId="77777777" w:rsidR="00E63D5B" w:rsidRPr="00132066" w:rsidRDefault="001F059D">
      <w:pPr>
        <w:spacing w:after="80" w:line="240" w:lineRule="auto"/>
        <w:ind w:left="567" w:hanging="567"/>
        <w:jc w:val="left"/>
        <w:rPr>
          <w:lang w:val="el-GR"/>
        </w:rPr>
      </w:pPr>
      <w:proofErr w:type="spellStart"/>
      <w:r>
        <w:rPr>
          <w:sz w:val="20"/>
          <w:szCs w:val="20"/>
          <w:lang w:val="el-GR"/>
        </w:rPr>
        <w:t>Φαρσεδάκης</w:t>
      </w:r>
      <w:proofErr w:type="spellEnd"/>
      <w:r>
        <w:rPr>
          <w:sz w:val="20"/>
          <w:szCs w:val="20"/>
          <w:lang w:val="el-GR"/>
        </w:rPr>
        <w:t xml:space="preserve">, Ι., </w:t>
      </w:r>
      <w:proofErr w:type="spellStart"/>
      <w:r>
        <w:rPr>
          <w:sz w:val="20"/>
          <w:szCs w:val="20"/>
          <w:lang w:val="el-GR"/>
        </w:rPr>
        <w:t>Αρτινοπούλου</w:t>
      </w:r>
      <w:proofErr w:type="spellEnd"/>
      <w:r>
        <w:rPr>
          <w:sz w:val="20"/>
          <w:szCs w:val="20"/>
          <w:lang w:val="el-GR"/>
        </w:rPr>
        <w:t xml:space="preserve">, Β., Παπαγιαννοπούλου, Μ. Χ., </w:t>
      </w:r>
      <w:proofErr w:type="spellStart"/>
      <w:r>
        <w:rPr>
          <w:sz w:val="20"/>
          <w:szCs w:val="20"/>
          <w:lang w:val="el-GR"/>
        </w:rPr>
        <w:t>Ζουλινάκη</w:t>
      </w:r>
      <w:proofErr w:type="spellEnd"/>
      <w:r>
        <w:rPr>
          <w:sz w:val="20"/>
          <w:szCs w:val="20"/>
          <w:lang w:val="el-GR"/>
        </w:rPr>
        <w:t xml:space="preserve">, Α., </w:t>
      </w:r>
      <w:proofErr w:type="spellStart"/>
      <w:r>
        <w:rPr>
          <w:sz w:val="20"/>
          <w:szCs w:val="20"/>
          <w:lang w:val="el-GR"/>
        </w:rPr>
        <w:t>Κατσίκη</w:t>
      </w:r>
      <w:proofErr w:type="spellEnd"/>
      <w:r>
        <w:rPr>
          <w:sz w:val="20"/>
          <w:szCs w:val="20"/>
          <w:lang w:val="el-GR"/>
        </w:rPr>
        <w:t xml:space="preserve">, Γ., </w:t>
      </w:r>
      <w:proofErr w:type="spellStart"/>
      <w:r>
        <w:rPr>
          <w:sz w:val="20"/>
          <w:szCs w:val="20"/>
          <w:lang w:val="el-GR"/>
        </w:rPr>
        <w:t>Ξυδοπούλου</w:t>
      </w:r>
      <w:proofErr w:type="spellEnd"/>
      <w:r>
        <w:rPr>
          <w:sz w:val="20"/>
          <w:szCs w:val="20"/>
          <w:lang w:val="el-GR"/>
        </w:rPr>
        <w:t xml:space="preserve">, Ε. Κ., &amp; Παπαμιχαήλ, Σ. (2003). </w:t>
      </w:r>
      <w:proofErr w:type="spellStart"/>
      <w:r>
        <w:rPr>
          <w:i/>
          <w:iCs/>
          <w:sz w:val="20"/>
          <w:szCs w:val="20"/>
          <w:lang w:val="el-GR"/>
        </w:rPr>
        <w:t>Ενδο</w:t>
      </w:r>
      <w:proofErr w:type="spellEnd"/>
      <w:r>
        <w:rPr>
          <w:i/>
          <w:iCs/>
          <w:sz w:val="20"/>
          <w:szCs w:val="20"/>
          <w:lang w:val="el-GR"/>
        </w:rPr>
        <w:t>-οικογενειακή βία κατά των γυναικών: Πρώτη πανελλαδική επιδημιολογική έρευνα</w:t>
      </w:r>
      <w:r>
        <w:rPr>
          <w:sz w:val="20"/>
          <w:szCs w:val="20"/>
          <w:lang w:val="el-GR"/>
        </w:rPr>
        <w:t>. Κέντρο Ερευνών για Θέματα Ισότητας (ΚΕΘΙ).</w:t>
      </w:r>
    </w:p>
    <w:p w14:paraId="2BC3D099" w14:textId="77777777" w:rsidR="00E63D5B" w:rsidRPr="00132066" w:rsidRDefault="001F059D">
      <w:pPr>
        <w:pStyle w:val="20"/>
        <w:rPr>
          <w:lang w:val="el-GR"/>
        </w:rPr>
      </w:pPr>
      <w:bookmarkStart w:id="85" w:name="_Toc242134490"/>
      <w:r>
        <w:rPr>
          <w:lang w:val="el-GR"/>
        </w:rPr>
        <w:t>Ξενόγλωσση</w:t>
      </w:r>
      <w:bookmarkEnd w:id="85"/>
    </w:p>
    <w:p w14:paraId="12265660" w14:textId="77777777" w:rsidR="00E63D5B" w:rsidRPr="00132066" w:rsidRDefault="001F059D">
      <w:pPr>
        <w:spacing w:after="80" w:line="240" w:lineRule="auto"/>
        <w:ind w:left="567" w:hanging="567"/>
        <w:jc w:val="left"/>
        <w:rPr>
          <w:lang w:val="el-GR"/>
        </w:rPr>
      </w:pPr>
      <w:r>
        <w:rPr>
          <w:sz w:val="20"/>
          <w:szCs w:val="20"/>
        </w:rPr>
        <w:t>Abramsky</w:t>
      </w:r>
      <w:r w:rsidRPr="00FC1B89">
        <w:rPr>
          <w:sz w:val="20"/>
          <w:szCs w:val="20"/>
          <w:lang w:val="en-US"/>
        </w:rPr>
        <w:t xml:space="preserve">, </w:t>
      </w:r>
      <w:r>
        <w:rPr>
          <w:sz w:val="20"/>
          <w:szCs w:val="20"/>
        </w:rPr>
        <w:t>T</w:t>
      </w:r>
      <w:r w:rsidRPr="00FC1B89">
        <w:rPr>
          <w:sz w:val="20"/>
          <w:szCs w:val="20"/>
          <w:lang w:val="en-US"/>
        </w:rPr>
        <w:t xml:space="preserve">., </w:t>
      </w:r>
      <w:r>
        <w:rPr>
          <w:sz w:val="20"/>
          <w:szCs w:val="20"/>
        </w:rPr>
        <w:t>Watts</w:t>
      </w:r>
      <w:r w:rsidRPr="00FC1B89">
        <w:rPr>
          <w:sz w:val="20"/>
          <w:szCs w:val="20"/>
          <w:lang w:val="en-US"/>
        </w:rPr>
        <w:t xml:space="preserve">, </w:t>
      </w:r>
      <w:r>
        <w:rPr>
          <w:sz w:val="20"/>
          <w:szCs w:val="20"/>
        </w:rPr>
        <w:t>C</w:t>
      </w:r>
      <w:r w:rsidRPr="00FC1B89">
        <w:rPr>
          <w:sz w:val="20"/>
          <w:szCs w:val="20"/>
          <w:lang w:val="en-US"/>
        </w:rPr>
        <w:t xml:space="preserve">. </w:t>
      </w:r>
      <w:r>
        <w:rPr>
          <w:sz w:val="20"/>
          <w:szCs w:val="20"/>
        </w:rPr>
        <w:t>H</w:t>
      </w:r>
      <w:r w:rsidRPr="00FC1B89">
        <w:rPr>
          <w:sz w:val="20"/>
          <w:szCs w:val="20"/>
          <w:lang w:val="en-US"/>
        </w:rPr>
        <w:t xml:space="preserve">., </w:t>
      </w:r>
      <w:r>
        <w:rPr>
          <w:sz w:val="20"/>
          <w:szCs w:val="20"/>
        </w:rPr>
        <w:t>Garcia</w:t>
      </w:r>
      <w:r w:rsidRPr="00FC1B89">
        <w:rPr>
          <w:sz w:val="20"/>
          <w:szCs w:val="20"/>
          <w:lang w:val="en-US"/>
        </w:rPr>
        <w:t>-</w:t>
      </w:r>
      <w:r>
        <w:rPr>
          <w:sz w:val="20"/>
          <w:szCs w:val="20"/>
        </w:rPr>
        <w:t>Moreno</w:t>
      </w:r>
      <w:r w:rsidRPr="00FC1B89">
        <w:rPr>
          <w:sz w:val="20"/>
          <w:szCs w:val="20"/>
          <w:lang w:val="en-US"/>
        </w:rPr>
        <w:t xml:space="preserve">, </w:t>
      </w:r>
      <w:r>
        <w:rPr>
          <w:sz w:val="20"/>
          <w:szCs w:val="20"/>
        </w:rPr>
        <w:t>C</w:t>
      </w:r>
      <w:r w:rsidRPr="00FC1B89">
        <w:rPr>
          <w:sz w:val="20"/>
          <w:szCs w:val="20"/>
          <w:lang w:val="en-US"/>
        </w:rPr>
        <w:t xml:space="preserve">., </w:t>
      </w:r>
      <w:r>
        <w:rPr>
          <w:sz w:val="20"/>
          <w:szCs w:val="20"/>
        </w:rPr>
        <w:t>Devries</w:t>
      </w:r>
      <w:r w:rsidRPr="00FC1B89">
        <w:rPr>
          <w:sz w:val="20"/>
          <w:szCs w:val="20"/>
          <w:lang w:val="en-US"/>
        </w:rPr>
        <w:t xml:space="preserve">, </w:t>
      </w:r>
      <w:r>
        <w:rPr>
          <w:sz w:val="20"/>
          <w:szCs w:val="20"/>
        </w:rPr>
        <w:t>K</w:t>
      </w:r>
      <w:r w:rsidRPr="00FC1B89">
        <w:rPr>
          <w:sz w:val="20"/>
          <w:szCs w:val="20"/>
          <w:lang w:val="en-US"/>
        </w:rPr>
        <w:t xml:space="preserve">., </w:t>
      </w:r>
      <w:r>
        <w:rPr>
          <w:sz w:val="20"/>
          <w:szCs w:val="20"/>
        </w:rPr>
        <w:t>Kiss</w:t>
      </w:r>
      <w:r w:rsidRPr="00FC1B89">
        <w:rPr>
          <w:sz w:val="20"/>
          <w:szCs w:val="20"/>
          <w:lang w:val="en-US"/>
        </w:rPr>
        <w:t xml:space="preserve">, </w:t>
      </w:r>
      <w:r>
        <w:rPr>
          <w:sz w:val="20"/>
          <w:szCs w:val="20"/>
        </w:rPr>
        <w:t>L</w:t>
      </w:r>
      <w:r w:rsidRPr="00FC1B89">
        <w:rPr>
          <w:sz w:val="20"/>
          <w:szCs w:val="20"/>
          <w:lang w:val="en-US"/>
        </w:rPr>
        <w:t xml:space="preserve">., </w:t>
      </w:r>
      <w:r>
        <w:rPr>
          <w:sz w:val="20"/>
          <w:szCs w:val="20"/>
        </w:rPr>
        <w:t>Ellsberg</w:t>
      </w:r>
      <w:r w:rsidRPr="00FC1B89">
        <w:rPr>
          <w:sz w:val="20"/>
          <w:szCs w:val="20"/>
          <w:lang w:val="en-US"/>
        </w:rPr>
        <w:t xml:space="preserve">, </w:t>
      </w:r>
      <w:r>
        <w:rPr>
          <w:sz w:val="20"/>
          <w:szCs w:val="20"/>
        </w:rPr>
        <w:t>M</w:t>
      </w:r>
      <w:r w:rsidRPr="00FC1B89">
        <w:rPr>
          <w:sz w:val="20"/>
          <w:szCs w:val="20"/>
          <w:lang w:val="en-US"/>
        </w:rPr>
        <w:t xml:space="preserve">., </w:t>
      </w:r>
      <w:r>
        <w:rPr>
          <w:sz w:val="20"/>
          <w:szCs w:val="20"/>
        </w:rPr>
        <w:t>Jansen</w:t>
      </w:r>
      <w:r w:rsidRPr="00FC1B89">
        <w:rPr>
          <w:sz w:val="20"/>
          <w:szCs w:val="20"/>
          <w:lang w:val="en-US"/>
        </w:rPr>
        <w:t xml:space="preserve">, </w:t>
      </w:r>
      <w:r>
        <w:rPr>
          <w:sz w:val="20"/>
          <w:szCs w:val="20"/>
        </w:rPr>
        <w:t>H</w:t>
      </w:r>
      <w:r w:rsidRPr="00FC1B89">
        <w:rPr>
          <w:sz w:val="20"/>
          <w:szCs w:val="20"/>
          <w:lang w:val="en-US"/>
        </w:rPr>
        <w:t xml:space="preserve">. </w:t>
      </w:r>
      <w:r>
        <w:rPr>
          <w:sz w:val="20"/>
          <w:szCs w:val="20"/>
        </w:rPr>
        <w:t>A</w:t>
      </w:r>
      <w:r w:rsidRPr="00FC1B89">
        <w:rPr>
          <w:sz w:val="20"/>
          <w:szCs w:val="20"/>
          <w:lang w:val="en-US"/>
        </w:rPr>
        <w:t xml:space="preserve">., &amp; </w:t>
      </w:r>
      <w:r>
        <w:rPr>
          <w:sz w:val="20"/>
          <w:szCs w:val="20"/>
        </w:rPr>
        <w:t>Heise</w:t>
      </w:r>
      <w:r w:rsidRPr="00FC1B89">
        <w:rPr>
          <w:sz w:val="20"/>
          <w:szCs w:val="20"/>
          <w:lang w:val="en-US"/>
        </w:rPr>
        <w:t xml:space="preserve">, </w:t>
      </w:r>
      <w:r>
        <w:rPr>
          <w:sz w:val="20"/>
          <w:szCs w:val="20"/>
        </w:rPr>
        <w:t>L</w:t>
      </w:r>
      <w:r w:rsidRPr="00FC1B89">
        <w:rPr>
          <w:sz w:val="20"/>
          <w:szCs w:val="20"/>
          <w:lang w:val="en-US"/>
        </w:rPr>
        <w:t xml:space="preserve">. (2011). </w:t>
      </w:r>
      <w:r>
        <w:rPr>
          <w:sz w:val="20"/>
          <w:szCs w:val="20"/>
        </w:rPr>
        <w:t xml:space="preserve">What factors are associated with recent intimate partner violence? </w:t>
      </w:r>
      <w:proofErr w:type="gramStart"/>
      <w:r>
        <w:rPr>
          <w:sz w:val="20"/>
          <w:szCs w:val="20"/>
        </w:rPr>
        <w:t>findings</w:t>
      </w:r>
      <w:proofErr w:type="gramEnd"/>
      <w:r>
        <w:rPr>
          <w:sz w:val="20"/>
          <w:szCs w:val="20"/>
        </w:rPr>
        <w:t xml:space="preserve"> from the WHO multi-country study on women's health and domestic violence. </w:t>
      </w:r>
      <w:r>
        <w:rPr>
          <w:i/>
          <w:iCs/>
          <w:sz w:val="20"/>
          <w:szCs w:val="20"/>
        </w:rPr>
        <w:t>BMC</w:t>
      </w:r>
      <w:r>
        <w:rPr>
          <w:i/>
          <w:iCs/>
          <w:sz w:val="20"/>
          <w:szCs w:val="20"/>
          <w:lang w:val="el-GR"/>
        </w:rPr>
        <w:t xml:space="preserve"> </w:t>
      </w:r>
      <w:r>
        <w:rPr>
          <w:i/>
          <w:iCs/>
          <w:sz w:val="20"/>
          <w:szCs w:val="20"/>
        </w:rPr>
        <w:t>public</w:t>
      </w:r>
      <w:r>
        <w:rPr>
          <w:i/>
          <w:iCs/>
          <w:sz w:val="20"/>
          <w:szCs w:val="20"/>
          <w:lang w:val="el-GR"/>
        </w:rPr>
        <w:t xml:space="preserve"> </w:t>
      </w:r>
      <w:r>
        <w:rPr>
          <w:i/>
          <w:iCs/>
          <w:sz w:val="20"/>
          <w:szCs w:val="20"/>
        </w:rPr>
        <w:t>health</w:t>
      </w:r>
      <w:r>
        <w:rPr>
          <w:sz w:val="20"/>
          <w:szCs w:val="20"/>
          <w:lang w:val="el-GR"/>
        </w:rPr>
        <w:t xml:space="preserve">, </w:t>
      </w:r>
      <w:r>
        <w:rPr>
          <w:i/>
          <w:iCs/>
          <w:sz w:val="20"/>
          <w:szCs w:val="20"/>
          <w:lang w:val="el-GR"/>
        </w:rPr>
        <w:t>11</w:t>
      </w:r>
      <w:r>
        <w:rPr>
          <w:sz w:val="20"/>
          <w:szCs w:val="20"/>
          <w:lang w:val="el-GR"/>
        </w:rPr>
        <w:t xml:space="preserve">, 109. </w:t>
      </w:r>
      <w:r>
        <w:rPr>
          <w:sz w:val="20"/>
          <w:szCs w:val="20"/>
        </w:rPr>
        <w:t>https</w:t>
      </w:r>
      <w:r>
        <w:rPr>
          <w:sz w:val="20"/>
          <w:szCs w:val="20"/>
          <w:lang w:val="el-GR"/>
        </w:rPr>
        <w:t>://</w:t>
      </w:r>
      <w:proofErr w:type="spellStart"/>
      <w:r>
        <w:rPr>
          <w:sz w:val="20"/>
          <w:szCs w:val="20"/>
        </w:rPr>
        <w:t>doi</w:t>
      </w:r>
      <w:proofErr w:type="spellEnd"/>
      <w:r>
        <w:rPr>
          <w:sz w:val="20"/>
          <w:szCs w:val="20"/>
          <w:lang w:val="el-GR"/>
        </w:rPr>
        <w:t>.</w:t>
      </w:r>
      <w:r>
        <w:rPr>
          <w:sz w:val="20"/>
          <w:szCs w:val="20"/>
        </w:rPr>
        <w:t>org</w:t>
      </w:r>
      <w:r>
        <w:rPr>
          <w:sz w:val="20"/>
          <w:szCs w:val="20"/>
          <w:lang w:val="el-GR"/>
        </w:rPr>
        <w:t>/10.1186/1471-2458-11-109</w:t>
      </w:r>
    </w:p>
    <w:p w14:paraId="63CC5DB7" w14:textId="77777777" w:rsidR="00E63D5B" w:rsidRDefault="001F059D">
      <w:pPr>
        <w:spacing w:after="80" w:line="240" w:lineRule="auto"/>
        <w:ind w:left="567" w:hanging="567"/>
        <w:jc w:val="left"/>
      </w:pPr>
      <w:r>
        <w:rPr>
          <w:sz w:val="20"/>
          <w:szCs w:val="20"/>
        </w:rPr>
        <w:t>ActionAid</w:t>
      </w:r>
      <w:r>
        <w:rPr>
          <w:sz w:val="20"/>
          <w:szCs w:val="20"/>
          <w:lang w:val="el-GR"/>
        </w:rPr>
        <w:t xml:space="preserve">. (2018). </w:t>
      </w:r>
      <w:r>
        <w:rPr>
          <w:i/>
          <w:iCs/>
          <w:sz w:val="20"/>
          <w:szCs w:val="20"/>
          <w:lang w:val="el-GR"/>
        </w:rPr>
        <w:t>Η ενδοοικογενειακή βία κατά την περίοδο της οικονομικής κρίσης: Η περίπτωση της Ελλάδας</w:t>
      </w:r>
      <w:r>
        <w:rPr>
          <w:sz w:val="20"/>
          <w:szCs w:val="20"/>
          <w:lang w:val="el-GR"/>
        </w:rPr>
        <w:t xml:space="preserve"> (Κ. </w:t>
      </w:r>
      <w:proofErr w:type="spellStart"/>
      <w:r>
        <w:rPr>
          <w:sz w:val="20"/>
          <w:szCs w:val="20"/>
          <w:lang w:val="el-GR"/>
        </w:rPr>
        <w:t>Γλυνιαδάκη</w:t>
      </w:r>
      <w:proofErr w:type="spellEnd"/>
      <w:r>
        <w:rPr>
          <w:sz w:val="20"/>
          <w:szCs w:val="20"/>
          <w:lang w:val="el-GR"/>
        </w:rPr>
        <w:t xml:space="preserve">, Ά. Κυριαζή, &amp; Μ. </w:t>
      </w:r>
      <w:proofErr w:type="spellStart"/>
      <w:r>
        <w:rPr>
          <w:sz w:val="20"/>
          <w:szCs w:val="20"/>
          <w:lang w:val="el-GR"/>
        </w:rPr>
        <w:t>Μουρτζάκη</w:t>
      </w:r>
      <w:proofErr w:type="spellEnd"/>
      <w:r>
        <w:rPr>
          <w:sz w:val="20"/>
          <w:szCs w:val="20"/>
          <w:lang w:val="el-GR"/>
        </w:rPr>
        <w:t xml:space="preserve">, </w:t>
      </w:r>
      <w:proofErr w:type="spellStart"/>
      <w:r>
        <w:rPr>
          <w:sz w:val="20"/>
          <w:szCs w:val="20"/>
          <w:lang w:val="el-GR"/>
        </w:rPr>
        <w:t>Συγγρ</w:t>
      </w:r>
      <w:proofErr w:type="spellEnd"/>
      <w:r>
        <w:rPr>
          <w:sz w:val="20"/>
          <w:szCs w:val="20"/>
          <w:lang w:val="el-GR"/>
        </w:rPr>
        <w:t xml:space="preserve">.). </w:t>
      </w:r>
      <w:r>
        <w:rPr>
          <w:sz w:val="20"/>
          <w:szCs w:val="20"/>
        </w:rPr>
        <w:t>ActionAid Hellas.</w:t>
      </w:r>
    </w:p>
    <w:p w14:paraId="32342234" w14:textId="77777777" w:rsidR="00E63D5B" w:rsidRDefault="001F059D">
      <w:pPr>
        <w:spacing w:after="80" w:line="240" w:lineRule="auto"/>
        <w:ind w:left="567" w:hanging="567"/>
        <w:jc w:val="left"/>
      </w:pPr>
      <w:r>
        <w:rPr>
          <w:sz w:val="20"/>
          <w:szCs w:val="20"/>
        </w:rPr>
        <w:lastRenderedPageBreak/>
        <w:t xml:space="preserve">Adams, A. E., &amp; </w:t>
      </w:r>
      <w:proofErr w:type="spellStart"/>
      <w:r>
        <w:rPr>
          <w:sz w:val="20"/>
          <w:szCs w:val="20"/>
        </w:rPr>
        <w:t>Beeble</w:t>
      </w:r>
      <w:proofErr w:type="spellEnd"/>
      <w:r>
        <w:rPr>
          <w:sz w:val="20"/>
          <w:szCs w:val="20"/>
        </w:rPr>
        <w:t xml:space="preserve">, M. L. (2019). Intimate partner violence and psychological well-being: Examining the </w:t>
      </w:r>
      <w:proofErr w:type="gramStart"/>
      <w:r>
        <w:rPr>
          <w:sz w:val="20"/>
          <w:szCs w:val="20"/>
        </w:rPr>
        <w:t>effect</w:t>
      </w:r>
      <w:proofErr w:type="gramEnd"/>
      <w:r>
        <w:rPr>
          <w:sz w:val="20"/>
          <w:szCs w:val="20"/>
        </w:rPr>
        <w:t xml:space="preserve"> of economic abuse on women's quality of life. </w:t>
      </w:r>
      <w:r>
        <w:rPr>
          <w:i/>
          <w:iCs/>
          <w:sz w:val="20"/>
          <w:szCs w:val="20"/>
        </w:rPr>
        <w:t>Psychology of Violence, 9</w:t>
      </w:r>
      <w:r>
        <w:rPr>
          <w:sz w:val="20"/>
          <w:szCs w:val="20"/>
        </w:rPr>
        <w:t>(5), 517–525. https://doi.org/10.1037/vio0000174</w:t>
      </w:r>
    </w:p>
    <w:p w14:paraId="1510EDE0" w14:textId="77777777" w:rsidR="00E63D5B" w:rsidRDefault="001F059D">
      <w:pPr>
        <w:spacing w:after="80" w:line="240" w:lineRule="auto"/>
        <w:ind w:left="567" w:hanging="567"/>
        <w:jc w:val="left"/>
      </w:pPr>
      <w:r>
        <w:rPr>
          <w:sz w:val="20"/>
          <w:szCs w:val="20"/>
        </w:rPr>
        <w:t xml:space="preserve">Adams, A. E., Sullivan, C. M., Bybee, D., &amp; Greeson, M. R. (2008). Development of the scale of economic abuse. </w:t>
      </w:r>
      <w:r>
        <w:rPr>
          <w:i/>
          <w:iCs/>
          <w:sz w:val="20"/>
          <w:szCs w:val="20"/>
        </w:rPr>
        <w:t>Violence Against Women, 14</w:t>
      </w:r>
      <w:r>
        <w:rPr>
          <w:sz w:val="20"/>
          <w:szCs w:val="20"/>
        </w:rPr>
        <w:t>(5), 563–588.</w:t>
      </w:r>
    </w:p>
    <w:p w14:paraId="45825AB4" w14:textId="77777777" w:rsidR="00E63D5B" w:rsidRDefault="001F059D">
      <w:pPr>
        <w:spacing w:after="80" w:line="240" w:lineRule="auto"/>
        <w:ind w:left="567" w:hanging="567"/>
        <w:jc w:val="left"/>
      </w:pPr>
      <w:r>
        <w:rPr>
          <w:sz w:val="20"/>
          <w:szCs w:val="20"/>
        </w:rPr>
        <w:t xml:space="preserve">Alsaker, K., Moen, B. E., </w:t>
      </w:r>
      <w:proofErr w:type="spellStart"/>
      <w:r>
        <w:rPr>
          <w:sz w:val="20"/>
          <w:szCs w:val="20"/>
        </w:rPr>
        <w:t>Nortvedt</w:t>
      </w:r>
      <w:proofErr w:type="spellEnd"/>
      <w:r>
        <w:rPr>
          <w:sz w:val="20"/>
          <w:szCs w:val="20"/>
        </w:rPr>
        <w:t xml:space="preserve">, M. W., &amp; Baste, V. (2006). Low health-related quality of life among abused women. </w:t>
      </w:r>
      <w:r>
        <w:rPr>
          <w:i/>
          <w:iCs/>
          <w:sz w:val="20"/>
          <w:szCs w:val="20"/>
        </w:rPr>
        <w:t>Quality of Life Research, 15</w:t>
      </w:r>
      <w:r>
        <w:rPr>
          <w:sz w:val="20"/>
          <w:szCs w:val="20"/>
        </w:rPr>
        <w:t>(6), 959–965. https://doi.org/10.1007/s11136-006-0046-4</w:t>
      </w:r>
    </w:p>
    <w:p w14:paraId="34DE8B4D" w14:textId="77777777" w:rsidR="00E63D5B" w:rsidRDefault="001F059D">
      <w:pPr>
        <w:spacing w:after="80" w:line="240" w:lineRule="auto"/>
        <w:ind w:left="567" w:hanging="567"/>
        <w:jc w:val="left"/>
      </w:pPr>
      <w:proofErr w:type="spellStart"/>
      <w:r>
        <w:rPr>
          <w:sz w:val="20"/>
          <w:szCs w:val="20"/>
        </w:rPr>
        <w:t>Altafim</w:t>
      </w:r>
      <w:proofErr w:type="spellEnd"/>
      <w:r>
        <w:rPr>
          <w:sz w:val="20"/>
          <w:szCs w:val="20"/>
        </w:rPr>
        <w:t xml:space="preserve">, E. R. P., Magalhães, C., &amp; Linhares, M. B. M. (2024). Prevention of child maltreatment: Integrative review of findings from an evidence-based parenting program. </w:t>
      </w:r>
      <w:r>
        <w:rPr>
          <w:i/>
          <w:iCs/>
          <w:sz w:val="20"/>
          <w:szCs w:val="20"/>
        </w:rPr>
        <w:t>Trauma, Violence, &amp; Abuse, 25</w:t>
      </w:r>
      <w:r>
        <w:rPr>
          <w:sz w:val="20"/>
          <w:szCs w:val="20"/>
        </w:rPr>
        <w:t>(3), 1938–1953. https://doi.org/10.1177/15248380231201811</w:t>
      </w:r>
    </w:p>
    <w:p w14:paraId="5892CFA1" w14:textId="77777777" w:rsidR="00E63D5B" w:rsidRDefault="001F059D">
      <w:pPr>
        <w:spacing w:after="80" w:line="240" w:lineRule="auto"/>
        <w:ind w:left="567" w:hanging="567"/>
        <w:jc w:val="left"/>
      </w:pPr>
      <w:proofErr w:type="spellStart"/>
      <w:r>
        <w:rPr>
          <w:sz w:val="20"/>
          <w:szCs w:val="20"/>
        </w:rPr>
        <w:t>Amanor</w:t>
      </w:r>
      <w:proofErr w:type="spellEnd"/>
      <w:r>
        <w:rPr>
          <w:sz w:val="20"/>
          <w:szCs w:val="20"/>
        </w:rPr>
        <w:t xml:space="preserve">-Boadu, Y., Messing, J. T., Stith, S. M., Anderson, J. R., O'Sullivan, C. S., &amp; Campbell, J. C. (2012). Immigrant and nonimmigrant women: Factors that predict leaving an abusive relationship. </w:t>
      </w:r>
      <w:r>
        <w:rPr>
          <w:i/>
          <w:iCs/>
          <w:sz w:val="20"/>
          <w:szCs w:val="20"/>
        </w:rPr>
        <w:t>Violence Against Women, 18</w:t>
      </w:r>
      <w:r>
        <w:rPr>
          <w:sz w:val="20"/>
          <w:szCs w:val="20"/>
        </w:rPr>
        <w:t>(5), 611–633.</w:t>
      </w:r>
    </w:p>
    <w:p w14:paraId="13343858" w14:textId="77777777" w:rsidR="00E63D5B" w:rsidRDefault="001F059D">
      <w:pPr>
        <w:spacing w:after="80" w:line="240" w:lineRule="auto"/>
        <w:ind w:left="567" w:hanging="567"/>
        <w:jc w:val="left"/>
      </w:pPr>
      <w:r>
        <w:rPr>
          <w:sz w:val="20"/>
          <w:szCs w:val="20"/>
        </w:rPr>
        <w:t xml:space="preserve">Amarsanaa, K., Kovács, M., &amp; Rácz, J. (2023). Posttraumatic Growth: Experiences of Mongolian and Hungarian Survivors of Intimate Partner Violence. </w:t>
      </w:r>
      <w:r>
        <w:rPr>
          <w:i/>
          <w:iCs/>
          <w:sz w:val="20"/>
          <w:szCs w:val="20"/>
        </w:rPr>
        <w:t xml:space="preserve">Acta </w:t>
      </w:r>
      <w:proofErr w:type="spellStart"/>
      <w:r>
        <w:rPr>
          <w:i/>
          <w:iCs/>
          <w:sz w:val="20"/>
          <w:szCs w:val="20"/>
        </w:rPr>
        <w:t>Psychologica</w:t>
      </w:r>
      <w:proofErr w:type="spellEnd"/>
      <w:r>
        <w:rPr>
          <w:i/>
          <w:iCs/>
          <w:sz w:val="20"/>
          <w:szCs w:val="20"/>
        </w:rPr>
        <w:t>, 233</w:t>
      </w:r>
      <w:r>
        <w:rPr>
          <w:sz w:val="20"/>
          <w:szCs w:val="20"/>
        </w:rPr>
        <w:t>, 103825. https://doi.org/10.1016/j.actpsy.2023.103825</w:t>
      </w:r>
    </w:p>
    <w:p w14:paraId="55624E2D" w14:textId="77777777" w:rsidR="00E63D5B" w:rsidRDefault="001F059D">
      <w:pPr>
        <w:spacing w:after="80" w:line="240" w:lineRule="auto"/>
        <w:ind w:left="567" w:hanging="567"/>
        <w:jc w:val="left"/>
      </w:pPr>
      <w:r>
        <w:rPr>
          <w:sz w:val="20"/>
          <w:szCs w:val="20"/>
        </w:rPr>
        <w:t xml:space="preserve">American Psychiatric Association (2022). </w:t>
      </w:r>
      <w:r>
        <w:rPr>
          <w:i/>
          <w:iCs/>
          <w:sz w:val="20"/>
          <w:szCs w:val="20"/>
        </w:rPr>
        <w:t>Diagnostic and statistical manual of mental disorders</w:t>
      </w:r>
      <w:r>
        <w:rPr>
          <w:sz w:val="20"/>
          <w:szCs w:val="20"/>
        </w:rPr>
        <w:t xml:space="preserve"> (5th ed., text rev.). https://doi.org/10.1176/appi.books.9780890425787</w:t>
      </w:r>
    </w:p>
    <w:p w14:paraId="375DF5C1" w14:textId="77777777" w:rsidR="00E63D5B" w:rsidRDefault="001F059D">
      <w:pPr>
        <w:spacing w:after="80" w:line="240" w:lineRule="auto"/>
        <w:ind w:left="567" w:hanging="567"/>
        <w:jc w:val="left"/>
      </w:pPr>
      <w:r>
        <w:rPr>
          <w:sz w:val="20"/>
          <w:szCs w:val="20"/>
        </w:rPr>
        <w:t xml:space="preserve">Anderson, D. K., &amp; Saunders, D. G. (2003). Leaving an abusive partner: An empirical review of predictors, the process of leaving, and psychological well-being. </w:t>
      </w:r>
      <w:r>
        <w:rPr>
          <w:i/>
          <w:iCs/>
          <w:sz w:val="20"/>
          <w:szCs w:val="20"/>
        </w:rPr>
        <w:t>Trauma, Violence, &amp; Abuse, 4</w:t>
      </w:r>
      <w:r>
        <w:rPr>
          <w:sz w:val="20"/>
          <w:szCs w:val="20"/>
        </w:rPr>
        <w:t>(2), 163–191. https://doi.org/10.1177/1524838002250769</w:t>
      </w:r>
    </w:p>
    <w:p w14:paraId="2AA9CC0D" w14:textId="77777777" w:rsidR="00E63D5B" w:rsidRDefault="001F059D">
      <w:pPr>
        <w:spacing w:after="80" w:line="240" w:lineRule="auto"/>
        <w:ind w:left="567" w:hanging="567"/>
        <w:jc w:val="left"/>
      </w:pPr>
      <w:r>
        <w:rPr>
          <w:sz w:val="20"/>
          <w:szCs w:val="20"/>
        </w:rPr>
        <w:t xml:space="preserve">Andreou, E., Alexopoulos, E. C., Lionis, C., </w:t>
      </w:r>
      <w:proofErr w:type="spellStart"/>
      <w:r>
        <w:rPr>
          <w:sz w:val="20"/>
          <w:szCs w:val="20"/>
        </w:rPr>
        <w:t>Varvogli</w:t>
      </w:r>
      <w:proofErr w:type="spellEnd"/>
      <w:r>
        <w:rPr>
          <w:sz w:val="20"/>
          <w:szCs w:val="20"/>
        </w:rPr>
        <w:t xml:space="preserve">, L., </w:t>
      </w:r>
      <w:proofErr w:type="spellStart"/>
      <w:r>
        <w:rPr>
          <w:sz w:val="20"/>
          <w:szCs w:val="20"/>
        </w:rPr>
        <w:t>Gnardellis</w:t>
      </w:r>
      <w:proofErr w:type="spellEnd"/>
      <w:r>
        <w:rPr>
          <w:sz w:val="20"/>
          <w:szCs w:val="20"/>
        </w:rPr>
        <w:t xml:space="preserve">, C., </w:t>
      </w:r>
      <w:proofErr w:type="spellStart"/>
      <w:r>
        <w:rPr>
          <w:sz w:val="20"/>
          <w:szCs w:val="20"/>
        </w:rPr>
        <w:t>Chrousos</w:t>
      </w:r>
      <w:proofErr w:type="spellEnd"/>
      <w:r>
        <w:rPr>
          <w:sz w:val="20"/>
          <w:szCs w:val="20"/>
        </w:rPr>
        <w:t xml:space="preserve">, G. P., &amp; </w:t>
      </w:r>
      <w:proofErr w:type="spellStart"/>
      <w:r>
        <w:rPr>
          <w:sz w:val="20"/>
          <w:szCs w:val="20"/>
        </w:rPr>
        <w:t>Darviri</w:t>
      </w:r>
      <w:proofErr w:type="spellEnd"/>
      <w:r>
        <w:rPr>
          <w:sz w:val="20"/>
          <w:szCs w:val="20"/>
        </w:rPr>
        <w:t xml:space="preserve">, C. (2011). Perceived Stress Scale: Reliability and validity study in Greece. </w:t>
      </w:r>
      <w:r>
        <w:rPr>
          <w:i/>
          <w:iCs/>
          <w:sz w:val="20"/>
          <w:szCs w:val="20"/>
        </w:rPr>
        <w:t>International Journal of Environmental Research and Public Health, 8</w:t>
      </w:r>
      <w:r>
        <w:rPr>
          <w:sz w:val="20"/>
          <w:szCs w:val="20"/>
        </w:rPr>
        <w:t>(8), 3287–3298. https://doi.org/10.3390/ijerph8083287</w:t>
      </w:r>
    </w:p>
    <w:p w14:paraId="4F05C785" w14:textId="77777777" w:rsidR="00E63D5B" w:rsidRDefault="001F059D">
      <w:pPr>
        <w:spacing w:after="80" w:line="240" w:lineRule="auto"/>
        <w:ind w:left="567" w:hanging="567"/>
        <w:jc w:val="left"/>
      </w:pPr>
      <w:r>
        <w:rPr>
          <w:sz w:val="20"/>
          <w:szCs w:val="20"/>
        </w:rPr>
        <w:t xml:space="preserve">Antonopoulou, Z., </w:t>
      </w:r>
      <w:proofErr w:type="spellStart"/>
      <w:r>
        <w:rPr>
          <w:sz w:val="20"/>
          <w:szCs w:val="20"/>
        </w:rPr>
        <w:t>Konstantakopoulos</w:t>
      </w:r>
      <w:proofErr w:type="spellEnd"/>
      <w:r>
        <w:rPr>
          <w:sz w:val="20"/>
          <w:szCs w:val="20"/>
        </w:rPr>
        <w:t xml:space="preserve">, G., </w:t>
      </w:r>
      <w:proofErr w:type="spellStart"/>
      <w:r>
        <w:rPr>
          <w:sz w:val="20"/>
          <w:szCs w:val="20"/>
        </w:rPr>
        <w:t>Tzinieri-Coccosis</w:t>
      </w:r>
      <w:proofErr w:type="spellEnd"/>
      <w:r>
        <w:rPr>
          <w:sz w:val="20"/>
          <w:szCs w:val="20"/>
        </w:rPr>
        <w:t xml:space="preserve">, M., &amp; </w:t>
      </w:r>
      <w:proofErr w:type="spellStart"/>
      <w:r>
        <w:rPr>
          <w:sz w:val="20"/>
          <w:szCs w:val="20"/>
        </w:rPr>
        <w:t>Sinodinou</w:t>
      </w:r>
      <w:proofErr w:type="spellEnd"/>
      <w:r>
        <w:rPr>
          <w:sz w:val="20"/>
          <w:szCs w:val="20"/>
        </w:rPr>
        <w:t xml:space="preserve">, C. (2017). Rates of childhood trauma in a sample of university students in Greece: The Greek version of the Early Trauma Inventory-Self Report. </w:t>
      </w:r>
      <w:proofErr w:type="spellStart"/>
      <w:r>
        <w:rPr>
          <w:i/>
          <w:iCs/>
          <w:sz w:val="20"/>
          <w:szCs w:val="20"/>
        </w:rPr>
        <w:t>Psychiatriki</w:t>
      </w:r>
      <w:proofErr w:type="spellEnd"/>
      <w:r>
        <w:rPr>
          <w:i/>
          <w:iCs/>
          <w:sz w:val="20"/>
          <w:szCs w:val="20"/>
        </w:rPr>
        <w:t>, 28</w:t>
      </w:r>
      <w:r>
        <w:rPr>
          <w:sz w:val="20"/>
          <w:szCs w:val="20"/>
        </w:rPr>
        <w:t>(1), 19–27. https://doi.org/10.22365/jpsych.2017.281.19</w:t>
      </w:r>
    </w:p>
    <w:p w14:paraId="2BC40705" w14:textId="77777777" w:rsidR="000956C9" w:rsidRDefault="00F56A84">
      <w:pPr>
        <w:spacing w:after="80" w:line="240" w:lineRule="auto"/>
        <w:ind w:left="567" w:hanging="567"/>
        <w:jc w:val="left"/>
      </w:pPr>
      <w:r>
        <w:rPr>
          <w:sz w:val="20"/>
          <w:szCs w:val="20"/>
        </w:rPr>
        <w:t xml:space="preserve">Assink, M., Spruit, A., </w:t>
      </w:r>
      <w:proofErr w:type="spellStart"/>
      <w:r>
        <w:rPr>
          <w:sz w:val="20"/>
          <w:szCs w:val="20"/>
        </w:rPr>
        <w:t>Schuts</w:t>
      </w:r>
      <w:proofErr w:type="spellEnd"/>
      <w:r>
        <w:rPr>
          <w:sz w:val="20"/>
          <w:szCs w:val="20"/>
        </w:rPr>
        <w:t xml:space="preserve">, M., Lindauer, R. J. L., van der Put, C. E., &amp; </w:t>
      </w:r>
      <w:proofErr w:type="spellStart"/>
      <w:r>
        <w:rPr>
          <w:sz w:val="20"/>
          <w:szCs w:val="20"/>
        </w:rPr>
        <w:t>Stams</w:t>
      </w:r>
      <w:proofErr w:type="spellEnd"/>
      <w:r>
        <w:rPr>
          <w:sz w:val="20"/>
          <w:szCs w:val="20"/>
        </w:rPr>
        <w:t xml:space="preserve">, G. J. J. M. (2018). The intergenerational transmission of child maltreatment: A three-level meta-analysis. </w:t>
      </w:r>
      <w:r>
        <w:rPr>
          <w:i/>
          <w:iCs/>
          <w:sz w:val="20"/>
          <w:szCs w:val="20"/>
        </w:rPr>
        <w:t>Child Abuse &amp; Neglect, 84</w:t>
      </w:r>
      <w:r>
        <w:rPr>
          <w:sz w:val="20"/>
          <w:szCs w:val="20"/>
        </w:rPr>
        <w:t>, 131–145. https://doi.org/10.1016/j.chiabu.2018.07.037</w:t>
      </w:r>
    </w:p>
    <w:p w14:paraId="1A4E0C28" w14:textId="77777777" w:rsidR="00E63D5B" w:rsidRDefault="001F059D">
      <w:pPr>
        <w:spacing w:after="80" w:line="240" w:lineRule="auto"/>
        <w:ind w:left="567" w:hanging="567"/>
        <w:jc w:val="left"/>
      </w:pPr>
      <w:r>
        <w:rPr>
          <w:sz w:val="20"/>
          <w:szCs w:val="20"/>
        </w:rPr>
        <w:t xml:space="preserve">Babcock, J. C., Green, C. E., &amp; Robie, C. (2004). Does batterers' treatment work? A meta-analytic review of domestic violence treatment. </w:t>
      </w:r>
      <w:r>
        <w:rPr>
          <w:i/>
          <w:iCs/>
          <w:sz w:val="20"/>
          <w:szCs w:val="20"/>
        </w:rPr>
        <w:t>Clinical Psychology Review, 23</w:t>
      </w:r>
      <w:r>
        <w:rPr>
          <w:sz w:val="20"/>
          <w:szCs w:val="20"/>
        </w:rPr>
        <w:t>(8), 1023–1053. https://doi.org/10.1016/j.cpr.2002.07.001</w:t>
      </w:r>
    </w:p>
    <w:p w14:paraId="3F351CFE" w14:textId="77777777" w:rsidR="00E63D5B" w:rsidRDefault="001F059D">
      <w:pPr>
        <w:spacing w:after="80" w:line="240" w:lineRule="auto"/>
        <w:ind w:left="567" w:hanging="567"/>
        <w:jc w:val="left"/>
      </w:pPr>
      <w:r>
        <w:rPr>
          <w:sz w:val="20"/>
          <w:szCs w:val="20"/>
        </w:rPr>
        <w:t xml:space="preserve">Bacchus, L. J., Colombini, M., Contreras-Urbina, M., Howarth, E., Gardner, F., Annan, J., … Ruiz-Casares, M. (2024). Interventions that prevent or respond to intimate partner violence against women and violence against children: A systematic review. </w:t>
      </w:r>
      <w:r>
        <w:rPr>
          <w:i/>
          <w:iCs/>
          <w:sz w:val="20"/>
          <w:szCs w:val="20"/>
        </w:rPr>
        <w:t>The Lancet Public Health, 9</w:t>
      </w:r>
      <w:r>
        <w:rPr>
          <w:sz w:val="20"/>
          <w:szCs w:val="20"/>
        </w:rPr>
        <w:t>(5), e326–e338. https://doi.org/10.1016/S2468-2667(24)00048-3</w:t>
      </w:r>
    </w:p>
    <w:p w14:paraId="73A61A88" w14:textId="77777777" w:rsidR="00E63D5B" w:rsidRDefault="001F059D">
      <w:pPr>
        <w:spacing w:after="80" w:line="240" w:lineRule="auto"/>
        <w:ind w:left="567" w:hanging="567"/>
        <w:jc w:val="left"/>
      </w:pPr>
      <w:proofErr w:type="spellStart"/>
      <w:r>
        <w:rPr>
          <w:sz w:val="20"/>
          <w:szCs w:val="20"/>
        </w:rPr>
        <w:t>Bakaitytė</w:t>
      </w:r>
      <w:proofErr w:type="spellEnd"/>
      <w:r>
        <w:rPr>
          <w:sz w:val="20"/>
          <w:szCs w:val="20"/>
        </w:rPr>
        <w:t xml:space="preserve">, A., </w:t>
      </w:r>
      <w:proofErr w:type="spellStart"/>
      <w:r>
        <w:rPr>
          <w:sz w:val="20"/>
          <w:szCs w:val="20"/>
        </w:rPr>
        <w:t>Kaniušonytė</w:t>
      </w:r>
      <w:proofErr w:type="spellEnd"/>
      <w:r>
        <w:rPr>
          <w:sz w:val="20"/>
          <w:szCs w:val="20"/>
        </w:rPr>
        <w:t xml:space="preserve">, G., </w:t>
      </w:r>
      <w:proofErr w:type="spellStart"/>
      <w:r>
        <w:rPr>
          <w:sz w:val="20"/>
          <w:szCs w:val="20"/>
        </w:rPr>
        <w:t>Truskauskaitė-Kunevičienė</w:t>
      </w:r>
      <w:proofErr w:type="spellEnd"/>
      <w:r>
        <w:rPr>
          <w:sz w:val="20"/>
          <w:szCs w:val="20"/>
        </w:rPr>
        <w:t xml:space="preserve">, I., &amp; </w:t>
      </w:r>
      <w:proofErr w:type="spellStart"/>
      <w:r>
        <w:rPr>
          <w:sz w:val="20"/>
          <w:szCs w:val="20"/>
        </w:rPr>
        <w:t>Žukauskienė</w:t>
      </w:r>
      <w:proofErr w:type="spellEnd"/>
      <w:r>
        <w:rPr>
          <w:sz w:val="20"/>
          <w:szCs w:val="20"/>
        </w:rPr>
        <w:t xml:space="preserve">, R. (2020). </w:t>
      </w:r>
      <w:r>
        <w:rPr>
          <w:i/>
          <w:iCs/>
          <w:sz w:val="20"/>
          <w:szCs w:val="20"/>
        </w:rPr>
        <w:t>Longitudinal Investigation of Posttraumatic Growth in Female Survivors of Intimate Partner Violence: The Role of Event Centrality and Identity Exploration.</w:t>
      </w:r>
      <w:r>
        <w:rPr>
          <w:sz w:val="20"/>
          <w:szCs w:val="20"/>
        </w:rPr>
        <w:t xml:space="preserve"> Journal of Interpersonal Violence. https://doi.org/10.1177/0886260520920864</w:t>
      </w:r>
    </w:p>
    <w:p w14:paraId="4654C094" w14:textId="77777777" w:rsidR="00E63D5B" w:rsidRDefault="001F059D">
      <w:pPr>
        <w:spacing w:after="80" w:line="240" w:lineRule="auto"/>
        <w:ind w:left="567" w:hanging="567"/>
        <w:jc w:val="left"/>
      </w:pPr>
      <w:proofErr w:type="spellStart"/>
      <w:r>
        <w:rPr>
          <w:sz w:val="20"/>
          <w:szCs w:val="20"/>
        </w:rPr>
        <w:t>Bakaitytė</w:t>
      </w:r>
      <w:proofErr w:type="spellEnd"/>
      <w:r>
        <w:rPr>
          <w:sz w:val="20"/>
          <w:szCs w:val="20"/>
        </w:rPr>
        <w:t xml:space="preserve">, A., </w:t>
      </w:r>
      <w:proofErr w:type="spellStart"/>
      <w:r>
        <w:rPr>
          <w:sz w:val="20"/>
          <w:szCs w:val="20"/>
        </w:rPr>
        <w:t>Kaniušonytė</w:t>
      </w:r>
      <w:proofErr w:type="spellEnd"/>
      <w:r>
        <w:rPr>
          <w:sz w:val="20"/>
          <w:szCs w:val="20"/>
        </w:rPr>
        <w:t xml:space="preserve">, G., &amp; </w:t>
      </w:r>
      <w:proofErr w:type="spellStart"/>
      <w:r>
        <w:rPr>
          <w:sz w:val="20"/>
          <w:szCs w:val="20"/>
        </w:rPr>
        <w:t>Žukauskienė</w:t>
      </w:r>
      <w:proofErr w:type="spellEnd"/>
      <w:r>
        <w:rPr>
          <w:sz w:val="20"/>
          <w:szCs w:val="20"/>
        </w:rPr>
        <w:t xml:space="preserve">, R. (2022). </w:t>
      </w:r>
      <w:r>
        <w:rPr>
          <w:i/>
          <w:iCs/>
          <w:sz w:val="20"/>
          <w:szCs w:val="20"/>
        </w:rPr>
        <w:t>Posttraumatic Growth, Centrality of Event, Trauma Symptoms and Resilience: Profiles of Women Survivors of Intimate Partner Violence.</w:t>
      </w:r>
      <w:r>
        <w:rPr>
          <w:sz w:val="20"/>
          <w:szCs w:val="20"/>
        </w:rPr>
        <w:t xml:space="preserve"> Journal of Interpersonal Violence, 37(21–22), NP20168–NP20189. https://pubmed.ncbi.nlm.nih.gov/34658266/</w:t>
      </w:r>
    </w:p>
    <w:p w14:paraId="3C6CBA45" w14:textId="77777777" w:rsidR="00E63D5B" w:rsidRDefault="001F059D">
      <w:pPr>
        <w:spacing w:after="80" w:line="240" w:lineRule="auto"/>
        <w:ind w:left="567" w:hanging="567"/>
        <w:jc w:val="left"/>
      </w:pPr>
      <w:r>
        <w:rPr>
          <w:sz w:val="20"/>
          <w:szCs w:val="20"/>
        </w:rPr>
        <w:t xml:space="preserve">Balsam, K. F., &amp; Szymanski, D. M. (2005). </w:t>
      </w:r>
      <w:r>
        <w:rPr>
          <w:i/>
          <w:iCs/>
          <w:sz w:val="20"/>
          <w:szCs w:val="20"/>
        </w:rPr>
        <w:t>Relationship Quality and Domestic Violence in Women's Same-Sex Relationships: The Role of Minority Stress</w:t>
      </w:r>
      <w:r>
        <w:rPr>
          <w:sz w:val="20"/>
          <w:szCs w:val="20"/>
        </w:rPr>
        <w:t>. Psychology of Women Quarterly, 29(3), 258–269 https://onlinelibrary.wiley.com/doi/10.1111/j.1471-6402.2005.00220.x</w:t>
      </w:r>
    </w:p>
    <w:p w14:paraId="3232AE00" w14:textId="77777777" w:rsidR="00E63D5B" w:rsidRDefault="001F059D">
      <w:pPr>
        <w:spacing w:after="80" w:line="240" w:lineRule="auto"/>
        <w:ind w:left="567" w:hanging="567"/>
        <w:jc w:val="left"/>
      </w:pPr>
      <w:r>
        <w:rPr>
          <w:sz w:val="20"/>
          <w:szCs w:val="20"/>
        </w:rPr>
        <w:t xml:space="preserve">Bancroft, L., Silverman, J. G., &amp; Ritchie, D. (2012). </w:t>
      </w:r>
      <w:r>
        <w:rPr>
          <w:i/>
          <w:iCs/>
          <w:sz w:val="20"/>
          <w:szCs w:val="20"/>
        </w:rPr>
        <w:t>The batterer as parent: Addressing the impact of domestic violence on family dynamics</w:t>
      </w:r>
      <w:r>
        <w:rPr>
          <w:sz w:val="20"/>
          <w:szCs w:val="20"/>
        </w:rPr>
        <w:t xml:space="preserve"> (2nd ed.). SAGE Publications.</w:t>
      </w:r>
    </w:p>
    <w:p w14:paraId="5D4A1409" w14:textId="77777777" w:rsidR="00E63D5B" w:rsidRDefault="001F059D">
      <w:pPr>
        <w:spacing w:after="80" w:line="240" w:lineRule="auto"/>
        <w:ind w:left="567" w:hanging="567"/>
        <w:jc w:val="left"/>
      </w:pPr>
      <w:r>
        <w:rPr>
          <w:sz w:val="20"/>
          <w:szCs w:val="20"/>
        </w:rPr>
        <w:t xml:space="preserve">Bandura, A. (1977). </w:t>
      </w:r>
      <w:r>
        <w:rPr>
          <w:i/>
          <w:iCs/>
          <w:sz w:val="20"/>
          <w:szCs w:val="20"/>
        </w:rPr>
        <w:t>Social learning theory</w:t>
      </w:r>
      <w:r>
        <w:rPr>
          <w:sz w:val="20"/>
          <w:szCs w:val="20"/>
        </w:rPr>
        <w:t>. Prentice-Hall.</w:t>
      </w:r>
    </w:p>
    <w:p w14:paraId="7DEF7588" w14:textId="77777777" w:rsidR="00E63D5B" w:rsidRDefault="001F059D">
      <w:pPr>
        <w:spacing w:after="80" w:line="240" w:lineRule="auto"/>
        <w:ind w:left="567" w:hanging="567"/>
        <w:jc w:val="left"/>
      </w:pPr>
      <w:r>
        <w:rPr>
          <w:sz w:val="20"/>
          <w:szCs w:val="20"/>
        </w:rPr>
        <w:t xml:space="preserve">Barber, B. K. (1996). Parental psychological control: Revisiting a neglected construct. </w:t>
      </w:r>
      <w:r>
        <w:rPr>
          <w:i/>
          <w:iCs/>
          <w:sz w:val="20"/>
          <w:szCs w:val="20"/>
        </w:rPr>
        <w:t>Child Development, 67</w:t>
      </w:r>
      <w:r>
        <w:rPr>
          <w:sz w:val="20"/>
          <w:szCs w:val="20"/>
        </w:rPr>
        <w:t>(6), 3296–3319. https://doi.org/10.1111/j.1467-8624.1996.tb01915.x</w:t>
      </w:r>
    </w:p>
    <w:p w14:paraId="667CE18F" w14:textId="77777777" w:rsidR="00E63D5B" w:rsidRDefault="001F059D">
      <w:pPr>
        <w:spacing w:after="80" w:line="240" w:lineRule="auto"/>
        <w:ind w:left="567" w:hanging="567"/>
        <w:jc w:val="left"/>
      </w:pPr>
      <w:r>
        <w:rPr>
          <w:sz w:val="20"/>
          <w:szCs w:val="20"/>
        </w:rPr>
        <w:lastRenderedPageBreak/>
        <w:t xml:space="preserve">Benoit, D., &amp; Parker, K. C. H. (1994). </w:t>
      </w:r>
      <w:r>
        <w:rPr>
          <w:i/>
          <w:iCs/>
          <w:sz w:val="20"/>
          <w:szCs w:val="20"/>
        </w:rPr>
        <w:t>Stability and Transmission of Attachment Across Three Generations</w:t>
      </w:r>
      <w:r>
        <w:rPr>
          <w:sz w:val="20"/>
          <w:szCs w:val="20"/>
        </w:rPr>
        <w:t>. Child Development, 65(5), 1444-1456.</w:t>
      </w:r>
    </w:p>
    <w:p w14:paraId="5FE60E3A" w14:textId="77777777" w:rsidR="00E63D5B" w:rsidRDefault="001F059D">
      <w:pPr>
        <w:spacing w:after="80" w:line="240" w:lineRule="auto"/>
        <w:ind w:left="567" w:hanging="567"/>
        <w:jc w:val="left"/>
      </w:pPr>
      <w:r>
        <w:rPr>
          <w:sz w:val="20"/>
          <w:szCs w:val="20"/>
        </w:rPr>
        <w:t xml:space="preserve">Bloom, A. (2021). </w:t>
      </w:r>
      <w:r>
        <w:rPr>
          <w:i/>
          <w:iCs/>
          <w:sz w:val="20"/>
          <w:szCs w:val="20"/>
        </w:rPr>
        <w:t>Faith in the Future: Posttraumatic Growth Through Evangelical Christianity for Immigrant Survivors of Intimate Partner Violence.</w:t>
      </w:r>
      <w:r>
        <w:rPr>
          <w:sz w:val="20"/>
          <w:szCs w:val="20"/>
        </w:rPr>
        <w:t xml:space="preserve"> Medical Anthropology, 40(7), 626–638. https://pubmed.ncbi.nlm.nih.gov/33544629/</w:t>
      </w:r>
    </w:p>
    <w:p w14:paraId="17BCBAC3" w14:textId="77777777" w:rsidR="00E63D5B" w:rsidRDefault="001F059D">
      <w:pPr>
        <w:spacing w:after="80" w:line="240" w:lineRule="auto"/>
        <w:ind w:left="567" w:hanging="567"/>
        <w:jc w:val="left"/>
      </w:pPr>
      <w:r>
        <w:rPr>
          <w:sz w:val="20"/>
          <w:szCs w:val="20"/>
        </w:rPr>
        <w:t xml:space="preserve">Bograd, M. (1984). </w:t>
      </w:r>
      <w:r>
        <w:rPr>
          <w:i/>
          <w:iCs/>
          <w:sz w:val="20"/>
          <w:szCs w:val="20"/>
        </w:rPr>
        <w:t>Family Systems Approaches to Wife Battering: A Feminist Critique</w:t>
      </w:r>
      <w:r>
        <w:rPr>
          <w:sz w:val="20"/>
          <w:szCs w:val="20"/>
        </w:rPr>
        <w:t>. American Journal of Orthopsychiatry, 54(4), 558–568. https://pubmed.ncbi.nlm.nih.gov/6507593/</w:t>
      </w:r>
    </w:p>
    <w:p w14:paraId="3E558FB3" w14:textId="77777777" w:rsidR="00E63D5B" w:rsidRDefault="001F059D">
      <w:pPr>
        <w:spacing w:after="80" w:line="240" w:lineRule="auto"/>
        <w:ind w:left="567" w:hanging="567"/>
        <w:jc w:val="left"/>
      </w:pPr>
      <w:r>
        <w:rPr>
          <w:sz w:val="20"/>
          <w:szCs w:val="20"/>
        </w:rPr>
        <w:t>Bograd, M. (1999). Strengthening domestic violence theories: Intersections of race, class, sexual orientation, and gender. Journal of Marital and Family Therapy, 25, 275–289.</w:t>
      </w:r>
    </w:p>
    <w:p w14:paraId="73769D17" w14:textId="77777777" w:rsidR="00E63D5B" w:rsidRDefault="001F059D">
      <w:pPr>
        <w:spacing w:after="80" w:line="240" w:lineRule="auto"/>
        <w:ind w:left="567" w:hanging="567"/>
        <w:jc w:val="left"/>
      </w:pPr>
      <w:r>
        <w:rPr>
          <w:sz w:val="20"/>
          <w:szCs w:val="20"/>
        </w:rPr>
        <w:t xml:space="preserve">Bowe, C., Thomas, C., &amp; Mackey, P. (2025). Perspective to practice: Theoretical frameworks explaining intergenerational trauma, violence, and maltreatment and implications for the therapeutic response. </w:t>
      </w:r>
      <w:r>
        <w:rPr>
          <w:i/>
          <w:iCs/>
          <w:sz w:val="20"/>
          <w:szCs w:val="20"/>
        </w:rPr>
        <w:t>International Journal of Environmental Research and Public Health, 22</w:t>
      </w:r>
      <w:r>
        <w:rPr>
          <w:sz w:val="20"/>
          <w:szCs w:val="20"/>
        </w:rPr>
        <w:t>(3), 321. https://doi.org/10.3390/ijerph22030321</w:t>
      </w:r>
    </w:p>
    <w:p w14:paraId="28757E1B" w14:textId="77777777" w:rsidR="00E63D5B" w:rsidRDefault="001F059D">
      <w:pPr>
        <w:spacing w:after="80" w:line="240" w:lineRule="auto"/>
        <w:ind w:left="567" w:hanging="567"/>
        <w:jc w:val="left"/>
      </w:pPr>
      <w:r>
        <w:rPr>
          <w:sz w:val="20"/>
          <w:szCs w:val="20"/>
        </w:rPr>
        <w:t xml:space="preserve">Bowlby, J. (1969). </w:t>
      </w:r>
      <w:r>
        <w:rPr>
          <w:i/>
          <w:iCs/>
          <w:sz w:val="20"/>
          <w:szCs w:val="20"/>
        </w:rPr>
        <w:t>Attachment and loss: Vol. 1. Attachment</w:t>
      </w:r>
      <w:r>
        <w:rPr>
          <w:sz w:val="20"/>
          <w:szCs w:val="20"/>
        </w:rPr>
        <w:t>. Basic Books.</w:t>
      </w:r>
    </w:p>
    <w:p w14:paraId="3E73AA4D" w14:textId="77777777" w:rsidR="00E63D5B" w:rsidRDefault="001F059D">
      <w:pPr>
        <w:spacing w:after="80" w:line="240" w:lineRule="auto"/>
        <w:ind w:left="567" w:hanging="567"/>
        <w:jc w:val="left"/>
      </w:pPr>
      <w:r>
        <w:rPr>
          <w:sz w:val="20"/>
          <w:szCs w:val="20"/>
        </w:rPr>
        <w:t xml:space="preserve">Bowlby, J. (1973). </w:t>
      </w:r>
      <w:r>
        <w:rPr>
          <w:i/>
          <w:iCs/>
          <w:sz w:val="20"/>
          <w:szCs w:val="20"/>
        </w:rPr>
        <w:t>Attachment and loss: Vol. 2. Separation: Anxiety and anger</w:t>
      </w:r>
      <w:r>
        <w:rPr>
          <w:sz w:val="20"/>
          <w:szCs w:val="20"/>
        </w:rPr>
        <w:t>. Basic Books.</w:t>
      </w:r>
    </w:p>
    <w:p w14:paraId="7659134D" w14:textId="77777777" w:rsidR="00E63D5B" w:rsidRDefault="001F059D">
      <w:pPr>
        <w:spacing w:after="80" w:line="240" w:lineRule="auto"/>
        <w:ind w:left="567" w:hanging="567"/>
        <w:jc w:val="left"/>
      </w:pPr>
      <w:r>
        <w:rPr>
          <w:sz w:val="20"/>
          <w:szCs w:val="20"/>
        </w:rPr>
        <w:t xml:space="preserve">Bows, H. (2018). Sexual Violence Against Older People: A Review of </w:t>
      </w:r>
      <w:proofErr w:type="gramStart"/>
      <w:r>
        <w:rPr>
          <w:sz w:val="20"/>
          <w:szCs w:val="20"/>
        </w:rPr>
        <w:t>the Empirical</w:t>
      </w:r>
      <w:proofErr w:type="gramEnd"/>
      <w:r>
        <w:rPr>
          <w:sz w:val="20"/>
          <w:szCs w:val="20"/>
        </w:rPr>
        <w:t xml:space="preserve"> Literature. </w:t>
      </w:r>
      <w:r>
        <w:rPr>
          <w:i/>
          <w:iCs/>
          <w:sz w:val="20"/>
          <w:szCs w:val="20"/>
        </w:rPr>
        <w:t>Trauma, violence &amp; abuse, 19(5)</w:t>
      </w:r>
      <w:r>
        <w:rPr>
          <w:sz w:val="20"/>
          <w:szCs w:val="20"/>
        </w:rPr>
        <w:t>, 567–583. https://doi.org/10.1177/1524838016683455</w:t>
      </w:r>
    </w:p>
    <w:p w14:paraId="52466E2D" w14:textId="77777777" w:rsidR="00E63D5B" w:rsidRDefault="001F059D">
      <w:pPr>
        <w:spacing w:after="80" w:line="240" w:lineRule="auto"/>
        <w:ind w:left="567" w:hanging="567"/>
        <w:jc w:val="left"/>
      </w:pPr>
      <w:r>
        <w:rPr>
          <w:sz w:val="20"/>
          <w:szCs w:val="20"/>
        </w:rPr>
        <w:t xml:space="preserve">Braun, V., &amp; Clarke, V. (2006). Using thematic analysis in psychology. </w:t>
      </w:r>
      <w:r>
        <w:rPr>
          <w:i/>
          <w:iCs/>
          <w:sz w:val="20"/>
          <w:szCs w:val="20"/>
        </w:rPr>
        <w:t>Qualitative Research in Psychology, 3</w:t>
      </w:r>
      <w:r>
        <w:rPr>
          <w:sz w:val="20"/>
          <w:szCs w:val="20"/>
        </w:rPr>
        <w:t>(2), 77–101. https://psycnet.apa.org/doi/10.1191/1478088706qp063oa</w:t>
      </w:r>
    </w:p>
    <w:p w14:paraId="72FDA244" w14:textId="77777777" w:rsidR="00E63D5B" w:rsidRDefault="001F059D">
      <w:pPr>
        <w:spacing w:after="80" w:line="240" w:lineRule="auto"/>
        <w:ind w:left="567" w:hanging="567"/>
        <w:jc w:val="left"/>
      </w:pPr>
      <w:r>
        <w:rPr>
          <w:sz w:val="20"/>
          <w:szCs w:val="20"/>
        </w:rPr>
        <w:t xml:space="preserve">Braun, V., &amp; Clarke, V. (2022). </w:t>
      </w:r>
      <w:r>
        <w:rPr>
          <w:i/>
          <w:iCs/>
          <w:sz w:val="20"/>
          <w:szCs w:val="20"/>
        </w:rPr>
        <w:t>Thematic analysis: A practical guide</w:t>
      </w:r>
      <w:r>
        <w:rPr>
          <w:sz w:val="20"/>
          <w:szCs w:val="20"/>
        </w:rPr>
        <w:t>. SAGE Publications.</w:t>
      </w:r>
    </w:p>
    <w:p w14:paraId="0746F674" w14:textId="77777777" w:rsidR="00E63D5B" w:rsidRDefault="001F059D">
      <w:pPr>
        <w:spacing w:after="80" w:line="240" w:lineRule="auto"/>
        <w:ind w:left="567" w:hanging="567"/>
        <w:jc w:val="left"/>
      </w:pPr>
      <w:r>
        <w:rPr>
          <w:sz w:val="20"/>
          <w:szCs w:val="20"/>
        </w:rPr>
        <w:t xml:space="preserve">Bremner, J. D., Vermetten, E., &amp; Mazure, C. M. (2000). Development and preliminary psychometric properties of an instrument for the measurement of childhood trauma: The Early Trauma Inventory. </w:t>
      </w:r>
      <w:r>
        <w:rPr>
          <w:i/>
          <w:iCs/>
          <w:sz w:val="20"/>
          <w:szCs w:val="20"/>
        </w:rPr>
        <w:t>Depression and Anxiety, 12</w:t>
      </w:r>
      <w:r>
        <w:rPr>
          <w:sz w:val="20"/>
          <w:szCs w:val="20"/>
        </w:rPr>
        <w:t>(1), 1–12. https://doi.org/10.1002/1520-6394(2000)12:1&lt;</w:t>
      </w:r>
      <w:proofErr w:type="gramStart"/>
      <w:r>
        <w:rPr>
          <w:sz w:val="20"/>
          <w:szCs w:val="20"/>
        </w:rPr>
        <w:t>1::</w:t>
      </w:r>
      <w:proofErr w:type="gramEnd"/>
      <w:r>
        <w:rPr>
          <w:sz w:val="20"/>
          <w:szCs w:val="20"/>
        </w:rPr>
        <w:t>AID-DA1&gt;3.0.CO;2-W</w:t>
      </w:r>
    </w:p>
    <w:p w14:paraId="48697B69" w14:textId="77777777" w:rsidR="00E63D5B" w:rsidRDefault="001F059D">
      <w:pPr>
        <w:spacing w:after="80" w:line="240" w:lineRule="auto"/>
        <w:ind w:left="567" w:hanging="567"/>
        <w:jc w:val="left"/>
      </w:pPr>
      <w:r>
        <w:rPr>
          <w:sz w:val="20"/>
          <w:szCs w:val="20"/>
        </w:rPr>
        <w:t>Brewin, C. R. (2014). Episodic memory, perceptual memory, and their interaction: Foundations for a theory of posttraumatic stress disorder. Psychological Bulletin, 140(1), 69–97. https://doi.org/10.1037/a0033722</w:t>
      </w:r>
    </w:p>
    <w:p w14:paraId="11B038A0" w14:textId="77777777" w:rsidR="00E63D5B" w:rsidRDefault="001F059D">
      <w:pPr>
        <w:spacing w:after="80" w:line="240" w:lineRule="auto"/>
        <w:ind w:left="567" w:hanging="567"/>
        <w:jc w:val="left"/>
      </w:pPr>
      <w:r>
        <w:rPr>
          <w:sz w:val="20"/>
          <w:szCs w:val="20"/>
        </w:rPr>
        <w:t xml:space="preserve">Brosi, M., Rolling, E., Gaffney, C., &amp; Kitch, B. (2020). </w:t>
      </w:r>
      <w:r>
        <w:rPr>
          <w:i/>
          <w:iCs/>
          <w:sz w:val="20"/>
          <w:szCs w:val="20"/>
        </w:rPr>
        <w:t>Beyond Resilience: Glimpses into Women's Posttraumatic Growth after Experiencing Intimate Partner Violence.</w:t>
      </w:r>
      <w:r>
        <w:rPr>
          <w:sz w:val="20"/>
          <w:szCs w:val="20"/>
        </w:rPr>
        <w:t xml:space="preserve"> The American Journal of Family Therapy, 48(1), 1–15. https://doi.org/10.1080/01926187.2019.1691084</w:t>
      </w:r>
    </w:p>
    <w:p w14:paraId="3078FE8F" w14:textId="77777777" w:rsidR="00E63D5B" w:rsidRDefault="001F059D">
      <w:pPr>
        <w:spacing w:after="80" w:line="240" w:lineRule="auto"/>
        <w:ind w:left="567" w:hanging="567"/>
        <w:jc w:val="left"/>
      </w:pPr>
      <w:proofErr w:type="spellStart"/>
      <w:r>
        <w:rPr>
          <w:sz w:val="20"/>
          <w:szCs w:val="20"/>
        </w:rPr>
        <w:t>Bryngeirsdottir</w:t>
      </w:r>
      <w:proofErr w:type="spellEnd"/>
      <w:r>
        <w:rPr>
          <w:sz w:val="20"/>
          <w:szCs w:val="20"/>
        </w:rPr>
        <w:t xml:space="preserve">, H. S., &amp; Halldorsdottir, S. (2022a). “I’m a Winner, </w:t>
      </w:r>
      <w:proofErr w:type="gramStart"/>
      <w:r>
        <w:rPr>
          <w:sz w:val="20"/>
          <w:szCs w:val="20"/>
        </w:rPr>
        <w:t>Not</w:t>
      </w:r>
      <w:proofErr w:type="gramEnd"/>
      <w:r>
        <w:rPr>
          <w:sz w:val="20"/>
          <w:szCs w:val="20"/>
        </w:rPr>
        <w:t xml:space="preserve"> a Victim”: The Facilitating Factors of Post-Traumatic Growth among Women Who Have Suffered Intimate Partner Violence. </w:t>
      </w:r>
      <w:r>
        <w:rPr>
          <w:i/>
          <w:iCs/>
          <w:sz w:val="20"/>
          <w:szCs w:val="20"/>
        </w:rPr>
        <w:t>International Journal of Environmental Research and Public Health</w:t>
      </w:r>
      <w:r>
        <w:rPr>
          <w:sz w:val="20"/>
          <w:szCs w:val="20"/>
        </w:rPr>
        <w:t xml:space="preserve">, </w:t>
      </w:r>
      <w:r>
        <w:rPr>
          <w:i/>
          <w:iCs/>
          <w:sz w:val="20"/>
          <w:szCs w:val="20"/>
        </w:rPr>
        <w:t>19</w:t>
      </w:r>
      <w:r>
        <w:rPr>
          <w:sz w:val="20"/>
          <w:szCs w:val="20"/>
        </w:rPr>
        <w:t>(3), 1342. https://doi.org/10.3390/ijerph19031342</w:t>
      </w:r>
    </w:p>
    <w:p w14:paraId="2CCA82C6" w14:textId="77777777" w:rsidR="00E63D5B" w:rsidRDefault="001F059D">
      <w:pPr>
        <w:spacing w:after="80" w:line="240" w:lineRule="auto"/>
        <w:ind w:left="567" w:hanging="567"/>
        <w:jc w:val="left"/>
      </w:pPr>
      <w:proofErr w:type="spellStart"/>
      <w:r>
        <w:rPr>
          <w:sz w:val="20"/>
          <w:szCs w:val="20"/>
        </w:rPr>
        <w:t>Bryngeirsdottir</w:t>
      </w:r>
      <w:proofErr w:type="spellEnd"/>
      <w:r>
        <w:rPr>
          <w:sz w:val="20"/>
          <w:szCs w:val="20"/>
        </w:rPr>
        <w:t xml:space="preserve">, H. S., &amp; Halldorsdottir, S. (2022b). Fourteen Main Obstacles on the Journey to Post-Traumatic Growth as Experienced by Female Survivors of Intimate Partner Violence: "It Was All So Confusing". </w:t>
      </w:r>
      <w:r>
        <w:rPr>
          <w:i/>
          <w:iCs/>
          <w:sz w:val="20"/>
          <w:szCs w:val="20"/>
        </w:rPr>
        <w:t>International Journal of Environmental Research and Public Health, 19(</w:t>
      </w:r>
      <w:r>
        <w:rPr>
          <w:sz w:val="20"/>
          <w:szCs w:val="20"/>
        </w:rPr>
        <w:t>9), 5377. https://doi.org/10.3390/ijerph19095377</w:t>
      </w:r>
    </w:p>
    <w:p w14:paraId="7007C310" w14:textId="77777777" w:rsidR="00E63D5B" w:rsidRDefault="001F059D">
      <w:pPr>
        <w:spacing w:after="80" w:line="240" w:lineRule="auto"/>
        <w:ind w:left="567" w:hanging="567"/>
        <w:jc w:val="left"/>
      </w:pPr>
      <w:r>
        <w:rPr>
          <w:sz w:val="20"/>
          <w:szCs w:val="20"/>
        </w:rPr>
        <w:t>Cafferky, B. M., Mendez, M., Anderson, J. R., &amp; Stith, S. M. (2018). Substance use and intimate partner violence: A meta-analytic review. Psychology of Violence, 8(1), 110–131. https://doi.org/10.1037/vio0000074</w:t>
      </w:r>
    </w:p>
    <w:p w14:paraId="74D3348C" w14:textId="77777777" w:rsidR="00E63D5B" w:rsidRDefault="001F059D">
      <w:pPr>
        <w:spacing w:after="80" w:line="240" w:lineRule="auto"/>
        <w:ind w:left="567" w:hanging="567"/>
        <w:jc w:val="left"/>
      </w:pPr>
      <w:r>
        <w:rPr>
          <w:sz w:val="20"/>
          <w:szCs w:val="20"/>
        </w:rPr>
        <w:t xml:space="preserve">Calhoun, L. G., &amp; Tedeschi, R. G. (2014). </w:t>
      </w:r>
      <w:r>
        <w:rPr>
          <w:i/>
          <w:iCs/>
          <w:sz w:val="20"/>
          <w:szCs w:val="20"/>
        </w:rPr>
        <w:t>The Foundations of Posttraumatic Growth: An Expanded Framework.</w:t>
      </w:r>
      <w:r>
        <w:rPr>
          <w:sz w:val="20"/>
          <w:szCs w:val="20"/>
        </w:rPr>
        <w:t xml:space="preserve"> In </w:t>
      </w:r>
      <w:r>
        <w:rPr>
          <w:i/>
          <w:iCs/>
          <w:sz w:val="20"/>
          <w:szCs w:val="20"/>
        </w:rPr>
        <w:t>Handbook of Posttraumatic Growth: Research and Practice.</w:t>
      </w:r>
    </w:p>
    <w:p w14:paraId="6593C2E3" w14:textId="77777777" w:rsidR="00E63D5B" w:rsidRDefault="001F059D">
      <w:pPr>
        <w:spacing w:after="80" w:line="240" w:lineRule="auto"/>
        <w:ind w:left="567" w:hanging="567"/>
        <w:jc w:val="left"/>
      </w:pPr>
      <w:r>
        <w:rPr>
          <w:sz w:val="20"/>
          <w:szCs w:val="20"/>
        </w:rPr>
        <w:t xml:space="preserve">Calvete, E., </w:t>
      </w:r>
      <w:proofErr w:type="spellStart"/>
      <w:r>
        <w:rPr>
          <w:sz w:val="20"/>
          <w:szCs w:val="20"/>
        </w:rPr>
        <w:t>Gámez-Guadix</w:t>
      </w:r>
      <w:proofErr w:type="spellEnd"/>
      <w:r>
        <w:rPr>
          <w:sz w:val="20"/>
          <w:szCs w:val="20"/>
        </w:rPr>
        <w:t xml:space="preserve">, M., Fernández-González, L., Orue, I., &amp; </w:t>
      </w:r>
      <w:proofErr w:type="spellStart"/>
      <w:r>
        <w:rPr>
          <w:sz w:val="20"/>
          <w:szCs w:val="20"/>
        </w:rPr>
        <w:t>Borrajo</w:t>
      </w:r>
      <w:proofErr w:type="spellEnd"/>
      <w:r>
        <w:rPr>
          <w:sz w:val="20"/>
          <w:szCs w:val="20"/>
        </w:rPr>
        <w:t>, E. (2018). Maladaptive schemas as mediators of the relationship between previous victimizations in the family and dating violence victimization in adolescents. Child Abuse &amp; Neglect, 81, 161–169. https://doi.org/10.1016/j.chiabu.2018.04.028</w:t>
      </w:r>
    </w:p>
    <w:p w14:paraId="70A86B2F" w14:textId="77777777" w:rsidR="00E63D5B" w:rsidRDefault="001F059D">
      <w:pPr>
        <w:spacing w:after="80" w:line="240" w:lineRule="auto"/>
        <w:ind w:left="567" w:hanging="567"/>
        <w:jc w:val="left"/>
      </w:pPr>
      <w:r>
        <w:rPr>
          <w:sz w:val="20"/>
          <w:szCs w:val="20"/>
        </w:rPr>
        <w:t xml:space="preserve">Cameron, J., </w:t>
      </w:r>
      <w:proofErr w:type="spellStart"/>
      <w:r>
        <w:rPr>
          <w:sz w:val="20"/>
          <w:szCs w:val="20"/>
        </w:rPr>
        <w:t>Rambaldini</w:t>
      </w:r>
      <w:proofErr w:type="spellEnd"/>
      <w:r>
        <w:rPr>
          <w:sz w:val="20"/>
          <w:szCs w:val="20"/>
        </w:rPr>
        <w:t xml:space="preserve">-Gooding, D., </w:t>
      </w:r>
      <w:proofErr w:type="spellStart"/>
      <w:r>
        <w:rPr>
          <w:sz w:val="20"/>
          <w:szCs w:val="20"/>
        </w:rPr>
        <w:t>Vezinias</w:t>
      </w:r>
      <w:proofErr w:type="spellEnd"/>
      <w:r>
        <w:rPr>
          <w:sz w:val="20"/>
          <w:szCs w:val="20"/>
        </w:rPr>
        <w:t xml:space="preserve">, K., Smith, B., Corsiglia, M., &amp; Beale, S. (2025). Learn to live again: A pilot study to support women experiencing domestic violence. </w:t>
      </w:r>
      <w:r>
        <w:rPr>
          <w:i/>
          <w:iCs/>
          <w:sz w:val="20"/>
          <w:szCs w:val="20"/>
        </w:rPr>
        <w:t>International Journal of Environmental Research and Public Health, 22</w:t>
      </w:r>
      <w:r>
        <w:rPr>
          <w:sz w:val="20"/>
          <w:szCs w:val="20"/>
        </w:rPr>
        <w:t>(5), 714. https://doi.org/10.3390/ijerph22050714</w:t>
      </w:r>
    </w:p>
    <w:p w14:paraId="0824D96C" w14:textId="77777777" w:rsidR="00E63D5B" w:rsidRDefault="001F059D">
      <w:pPr>
        <w:spacing w:after="80" w:line="240" w:lineRule="auto"/>
        <w:ind w:left="567" w:hanging="567"/>
        <w:jc w:val="left"/>
      </w:pPr>
      <w:r>
        <w:rPr>
          <w:sz w:val="20"/>
          <w:szCs w:val="20"/>
        </w:rPr>
        <w:t xml:space="preserve">Campbell, J. C. (2002). Health consequences of intimate partner violence. </w:t>
      </w:r>
      <w:r>
        <w:rPr>
          <w:i/>
          <w:iCs/>
          <w:sz w:val="20"/>
          <w:szCs w:val="20"/>
        </w:rPr>
        <w:t>The Lancet, 359</w:t>
      </w:r>
      <w:r>
        <w:rPr>
          <w:sz w:val="20"/>
          <w:szCs w:val="20"/>
        </w:rPr>
        <w:t>(9314), 1331–1336. https://doi.org/10.1016/S0140-6736(02)08336-8</w:t>
      </w:r>
    </w:p>
    <w:p w14:paraId="08B5B4B7" w14:textId="77777777" w:rsidR="00E63D5B" w:rsidRDefault="001F059D">
      <w:pPr>
        <w:spacing w:after="80" w:line="240" w:lineRule="auto"/>
        <w:ind w:left="567" w:hanging="567"/>
        <w:jc w:val="left"/>
      </w:pPr>
      <w:r>
        <w:rPr>
          <w:sz w:val="20"/>
          <w:szCs w:val="20"/>
        </w:rPr>
        <w:t xml:space="preserve">Campbell, J. C., Garcia-Moreno, C., &amp; Sharps, P. (2004). </w:t>
      </w:r>
      <w:r>
        <w:rPr>
          <w:i/>
          <w:iCs/>
          <w:sz w:val="20"/>
          <w:szCs w:val="20"/>
        </w:rPr>
        <w:t>Abuse During Pregnancy in Industrialized and Developing Countries</w:t>
      </w:r>
      <w:r>
        <w:rPr>
          <w:sz w:val="20"/>
          <w:szCs w:val="20"/>
        </w:rPr>
        <w:t>. Violence Against Women, 10(7), 770–789. https://doi.org/10.1177/1077801204265551</w:t>
      </w:r>
    </w:p>
    <w:p w14:paraId="3DE297F6" w14:textId="77777777" w:rsidR="00E63D5B" w:rsidRDefault="001F059D">
      <w:pPr>
        <w:spacing w:after="80" w:line="240" w:lineRule="auto"/>
        <w:ind w:left="567" w:hanging="567"/>
        <w:jc w:val="left"/>
      </w:pPr>
      <w:r>
        <w:rPr>
          <w:sz w:val="20"/>
          <w:szCs w:val="20"/>
        </w:rPr>
        <w:lastRenderedPageBreak/>
        <w:t xml:space="preserve">Campbell, J. C., Webster, D., Koziol-McLain, J., Block, C., Campbell, D., Curry, M. A., &amp; Laughon, K. (2003). Risk factors for femicide in abusive relationships. </w:t>
      </w:r>
      <w:r>
        <w:rPr>
          <w:i/>
          <w:iCs/>
          <w:sz w:val="20"/>
          <w:szCs w:val="20"/>
        </w:rPr>
        <w:t>American Journal of Public Health, 93</w:t>
      </w:r>
      <w:r>
        <w:rPr>
          <w:sz w:val="20"/>
          <w:szCs w:val="20"/>
        </w:rPr>
        <w:t>(7), 1089–1097.</w:t>
      </w:r>
    </w:p>
    <w:p w14:paraId="38EC9D26" w14:textId="77777777" w:rsidR="00E63D5B" w:rsidRDefault="001F059D">
      <w:pPr>
        <w:spacing w:after="80" w:line="240" w:lineRule="auto"/>
        <w:ind w:left="567" w:hanging="567"/>
        <w:jc w:val="left"/>
      </w:pPr>
      <w:r>
        <w:rPr>
          <w:sz w:val="20"/>
          <w:szCs w:val="20"/>
        </w:rPr>
        <w:t>Campbell, R. (2008). The psychological impact of rape victims' experiences with the legal, medical, and mental health systems. American Psychologist, 63(8), 702–717.</w:t>
      </w:r>
    </w:p>
    <w:p w14:paraId="68557A0B" w14:textId="77777777" w:rsidR="00E63D5B" w:rsidRDefault="001F059D">
      <w:pPr>
        <w:spacing w:after="80" w:line="240" w:lineRule="auto"/>
        <w:ind w:left="567" w:hanging="567"/>
        <w:jc w:val="left"/>
      </w:pPr>
      <w:r>
        <w:rPr>
          <w:sz w:val="20"/>
          <w:szCs w:val="20"/>
        </w:rPr>
        <w:t xml:space="preserve">Capaldi, D. M., Knoble, N. B., Shortt, J. W., &amp; Kim, H. K. (2012). A systematic review of risk factors for intimate partner violence. </w:t>
      </w:r>
      <w:r>
        <w:rPr>
          <w:i/>
          <w:iCs/>
          <w:sz w:val="20"/>
          <w:szCs w:val="20"/>
        </w:rPr>
        <w:t>Partner Abuse, 3</w:t>
      </w:r>
      <w:r>
        <w:rPr>
          <w:sz w:val="20"/>
          <w:szCs w:val="20"/>
        </w:rPr>
        <w:t>(2), 231–280. https://doi.org/10.1891/1946-6560.3.2.231</w:t>
      </w:r>
    </w:p>
    <w:p w14:paraId="3237DD86" w14:textId="77777777" w:rsidR="00E63D5B" w:rsidRDefault="001F059D">
      <w:pPr>
        <w:spacing w:after="80" w:line="240" w:lineRule="auto"/>
        <w:ind w:left="567" w:hanging="567"/>
        <w:jc w:val="left"/>
      </w:pPr>
      <w:r>
        <w:rPr>
          <w:sz w:val="20"/>
          <w:szCs w:val="20"/>
        </w:rPr>
        <w:t xml:space="preserve">Carpenter, G. L., &amp; Stacks, A. M. (2009). Developmental effects of exposure to intimate partner violence in early childhood: A review of the literature. </w:t>
      </w:r>
      <w:r>
        <w:rPr>
          <w:i/>
          <w:iCs/>
          <w:sz w:val="20"/>
          <w:szCs w:val="20"/>
        </w:rPr>
        <w:t>Children and Youth Services Review, 31</w:t>
      </w:r>
      <w:r>
        <w:rPr>
          <w:sz w:val="20"/>
          <w:szCs w:val="20"/>
        </w:rPr>
        <w:t>(8), 831–839. https://doi.org/10.1016/j.childyouth.2009.03.005</w:t>
      </w:r>
    </w:p>
    <w:p w14:paraId="243A3C3E" w14:textId="77777777" w:rsidR="00E63D5B" w:rsidRDefault="001F059D">
      <w:pPr>
        <w:spacing w:after="80" w:line="240" w:lineRule="auto"/>
        <w:ind w:left="567" w:hanging="567"/>
        <w:jc w:val="left"/>
      </w:pPr>
      <w:r>
        <w:rPr>
          <w:sz w:val="20"/>
          <w:szCs w:val="20"/>
        </w:rPr>
        <w:t>Carter, B., &amp; McGoldrick, M. (Eds.). (1999). The expanded family life cycle: Individual, family, and social perspectives (3rd ed.). Allyn &amp; Bacon.</w:t>
      </w:r>
    </w:p>
    <w:p w14:paraId="6925D2D7" w14:textId="77777777" w:rsidR="00E63D5B" w:rsidRDefault="001F059D">
      <w:pPr>
        <w:spacing w:after="80" w:line="240" w:lineRule="auto"/>
        <w:ind w:left="567" w:hanging="567"/>
        <w:jc w:val="left"/>
      </w:pPr>
      <w:r>
        <w:rPr>
          <w:sz w:val="20"/>
          <w:szCs w:val="20"/>
        </w:rPr>
        <w:t>Cascardi, M. (2016). From violence in the home to physical dating violence victimization: The mediating role of psychological distress in a prospective study of female adolescents. Journal of Youth and Adolescence, 45(4), 777–792. https://doi.org/10.1007/s10964-016-0434-1</w:t>
      </w:r>
    </w:p>
    <w:p w14:paraId="6B166469" w14:textId="77777777" w:rsidR="00E63D5B" w:rsidRDefault="001F059D">
      <w:pPr>
        <w:spacing w:after="80" w:line="240" w:lineRule="auto"/>
        <w:ind w:left="567" w:hanging="567"/>
        <w:jc w:val="left"/>
      </w:pPr>
      <w:r>
        <w:rPr>
          <w:sz w:val="20"/>
          <w:szCs w:val="20"/>
        </w:rPr>
        <w:t xml:space="preserve">CEDAW Committee. (1992). </w:t>
      </w:r>
      <w:r>
        <w:rPr>
          <w:i/>
          <w:iCs/>
          <w:sz w:val="20"/>
          <w:szCs w:val="20"/>
        </w:rPr>
        <w:t>General Recommendation No. 19: Violence against women</w:t>
      </w:r>
      <w:r>
        <w:rPr>
          <w:sz w:val="20"/>
          <w:szCs w:val="20"/>
        </w:rPr>
        <w:t>. United Nations. https://www.ohchr.org/en/treaty-bodies/cedaw</w:t>
      </w:r>
    </w:p>
    <w:p w14:paraId="5516F5F9" w14:textId="77777777" w:rsidR="00E63D5B" w:rsidRDefault="001F059D">
      <w:pPr>
        <w:spacing w:after="80" w:line="240" w:lineRule="auto"/>
        <w:ind w:left="567" w:hanging="567"/>
        <w:jc w:val="left"/>
      </w:pPr>
      <w:r>
        <w:rPr>
          <w:sz w:val="20"/>
          <w:szCs w:val="20"/>
        </w:rPr>
        <w:t xml:space="preserve">CEDAW Committee. (2017). </w:t>
      </w:r>
      <w:r>
        <w:rPr>
          <w:i/>
          <w:iCs/>
          <w:sz w:val="20"/>
          <w:szCs w:val="20"/>
        </w:rPr>
        <w:t>General Recommendation No. 35 on gender-based violence against women, updating General Recommendation No. 19</w:t>
      </w:r>
      <w:r>
        <w:rPr>
          <w:sz w:val="20"/>
          <w:szCs w:val="20"/>
        </w:rPr>
        <w:t>. United Nations.</w:t>
      </w:r>
    </w:p>
    <w:p w14:paraId="6CE72599" w14:textId="77777777" w:rsidR="00E63D5B" w:rsidRDefault="001F059D">
      <w:pPr>
        <w:spacing w:after="80" w:line="240" w:lineRule="auto"/>
        <w:ind w:left="567" w:hanging="567"/>
        <w:jc w:val="left"/>
      </w:pPr>
      <w:r>
        <w:rPr>
          <w:sz w:val="20"/>
          <w:szCs w:val="20"/>
        </w:rPr>
        <w:t xml:space="preserve">Chiesa, A. E., </w:t>
      </w:r>
      <w:proofErr w:type="spellStart"/>
      <w:r>
        <w:rPr>
          <w:sz w:val="20"/>
          <w:szCs w:val="20"/>
        </w:rPr>
        <w:t>Kallechey</w:t>
      </w:r>
      <w:proofErr w:type="spellEnd"/>
      <w:r>
        <w:rPr>
          <w:sz w:val="20"/>
          <w:szCs w:val="20"/>
        </w:rPr>
        <w:t xml:space="preserve">, L., </w:t>
      </w:r>
      <w:proofErr w:type="spellStart"/>
      <w:r>
        <w:rPr>
          <w:sz w:val="20"/>
          <w:szCs w:val="20"/>
        </w:rPr>
        <w:t>Harlaar</w:t>
      </w:r>
      <w:proofErr w:type="spellEnd"/>
      <w:r>
        <w:rPr>
          <w:sz w:val="20"/>
          <w:szCs w:val="20"/>
        </w:rPr>
        <w:t>, N., Ford, C. R., Garrido, E. F., Betts, W. R., &amp; Maguire, S. (2018). Intimate partner violence victimization and parenting: A systematic review. Child Abuse &amp; Neglect, 80, 285–300. https://doi.org/10.1016/j.chiabu.2018.03.028</w:t>
      </w:r>
    </w:p>
    <w:p w14:paraId="7A9A5E1B" w14:textId="77777777" w:rsidR="00E63D5B" w:rsidRDefault="001F059D">
      <w:pPr>
        <w:spacing w:after="80" w:line="240" w:lineRule="auto"/>
        <w:ind w:left="567" w:hanging="567"/>
        <w:jc w:val="left"/>
      </w:pPr>
      <w:r>
        <w:rPr>
          <w:sz w:val="20"/>
          <w:szCs w:val="20"/>
        </w:rPr>
        <w:t>Chu, Y.-C., Wang, H.-H., Chou, F.-H., Hsu, Y.-F., &amp; Liao, K.-L. (2024). Outcomes of trauma-informed care on the psychological health of women experiencing intimate partner violence: A systematic review and meta-analysis. Journal of Psychiatric and Mental Health Nursing, 31(2), 203–214. https://doi.org/10.1111/jpm.12976</w:t>
      </w:r>
    </w:p>
    <w:p w14:paraId="0F193802" w14:textId="77777777" w:rsidR="00E63D5B" w:rsidRDefault="001F059D">
      <w:pPr>
        <w:spacing w:after="80" w:line="240" w:lineRule="auto"/>
        <w:ind w:left="567" w:hanging="567"/>
        <w:jc w:val="left"/>
      </w:pPr>
      <w:r>
        <w:rPr>
          <w:sz w:val="20"/>
          <w:szCs w:val="20"/>
        </w:rPr>
        <w:t xml:space="preserve">Claeson, O., Rydén Ragnar, M., Åström, A., &amp; Kim, Y. (2025). Swedish women reaching post-traumatic growth after an intimate partner violence relationship: A study of formal help and growth after trauma. </w:t>
      </w:r>
      <w:r>
        <w:rPr>
          <w:i/>
          <w:iCs/>
          <w:sz w:val="20"/>
          <w:szCs w:val="20"/>
        </w:rPr>
        <w:t>Scandinavian journal of public health</w:t>
      </w:r>
      <w:r>
        <w:rPr>
          <w:sz w:val="20"/>
          <w:szCs w:val="20"/>
        </w:rPr>
        <w:t xml:space="preserve">, </w:t>
      </w:r>
      <w:r>
        <w:rPr>
          <w:i/>
          <w:iCs/>
          <w:sz w:val="20"/>
          <w:szCs w:val="20"/>
        </w:rPr>
        <w:t>53</w:t>
      </w:r>
      <w:r>
        <w:rPr>
          <w:sz w:val="20"/>
          <w:szCs w:val="20"/>
        </w:rPr>
        <w:t>(6), 685–688. https://doi.org/10.1177/14034948231222366</w:t>
      </w:r>
    </w:p>
    <w:p w14:paraId="5586647D" w14:textId="77777777" w:rsidR="00E63D5B" w:rsidRDefault="001F059D">
      <w:pPr>
        <w:spacing w:after="80" w:line="240" w:lineRule="auto"/>
        <w:ind w:left="567" w:hanging="567"/>
        <w:jc w:val="left"/>
      </w:pPr>
      <w:proofErr w:type="spellStart"/>
      <w:r>
        <w:rPr>
          <w:sz w:val="20"/>
          <w:szCs w:val="20"/>
        </w:rPr>
        <w:t>Cloitre</w:t>
      </w:r>
      <w:proofErr w:type="spellEnd"/>
      <w:r>
        <w:rPr>
          <w:sz w:val="20"/>
          <w:szCs w:val="20"/>
        </w:rPr>
        <w:t xml:space="preserve">, M., Garvert, D. W., Brewin, C. R., Bryant, R. A., &amp; </w:t>
      </w:r>
      <w:proofErr w:type="spellStart"/>
      <w:r>
        <w:rPr>
          <w:sz w:val="20"/>
          <w:szCs w:val="20"/>
        </w:rPr>
        <w:t>Maercker</w:t>
      </w:r>
      <w:proofErr w:type="spellEnd"/>
      <w:r>
        <w:rPr>
          <w:sz w:val="20"/>
          <w:szCs w:val="20"/>
        </w:rPr>
        <w:t xml:space="preserve">, A. (2013). Evidence for proposed ICD-11 PTSD and complex PTSD: a latent profile analysis. </w:t>
      </w:r>
      <w:r>
        <w:rPr>
          <w:i/>
          <w:iCs/>
          <w:sz w:val="20"/>
          <w:szCs w:val="20"/>
        </w:rPr>
        <w:t xml:space="preserve">European Journal of </w:t>
      </w:r>
      <w:proofErr w:type="spellStart"/>
      <w:r>
        <w:rPr>
          <w:i/>
          <w:iCs/>
          <w:sz w:val="20"/>
          <w:szCs w:val="20"/>
        </w:rPr>
        <w:t>Psychotraumatology</w:t>
      </w:r>
      <w:proofErr w:type="spellEnd"/>
      <w:r>
        <w:rPr>
          <w:sz w:val="20"/>
          <w:szCs w:val="20"/>
        </w:rPr>
        <w:t xml:space="preserve">, </w:t>
      </w:r>
      <w:r>
        <w:rPr>
          <w:i/>
          <w:iCs/>
          <w:sz w:val="20"/>
          <w:szCs w:val="20"/>
        </w:rPr>
        <w:t>4</w:t>
      </w:r>
      <w:r>
        <w:rPr>
          <w:sz w:val="20"/>
          <w:szCs w:val="20"/>
        </w:rPr>
        <w:t>, Article 20706. https://doi.org/10.3402/ejpt.v4i0.20706</w:t>
      </w:r>
    </w:p>
    <w:p w14:paraId="1FC9FF5B" w14:textId="77777777" w:rsidR="00E63D5B" w:rsidRDefault="001F059D">
      <w:pPr>
        <w:spacing w:after="80" w:line="240" w:lineRule="auto"/>
        <w:ind w:left="567" w:hanging="567"/>
        <w:jc w:val="left"/>
      </w:pPr>
      <w:proofErr w:type="spellStart"/>
      <w:r>
        <w:rPr>
          <w:sz w:val="20"/>
          <w:szCs w:val="20"/>
        </w:rPr>
        <w:t>Cloitre</w:t>
      </w:r>
      <w:proofErr w:type="spellEnd"/>
      <w:r>
        <w:rPr>
          <w:sz w:val="20"/>
          <w:szCs w:val="20"/>
        </w:rPr>
        <w:t xml:space="preserve">, M., Khan, C., Mackintosh, M. A., Garvert, D. W., Henn-Haase, C. M., Falvey, E. C., &amp; Saito, J. (2019). Emotion regulation mediates the relationship between ACES and physical and mental health. </w:t>
      </w:r>
      <w:r>
        <w:rPr>
          <w:i/>
          <w:iCs/>
          <w:sz w:val="20"/>
          <w:szCs w:val="20"/>
        </w:rPr>
        <w:t xml:space="preserve">Psychological </w:t>
      </w:r>
      <w:proofErr w:type="gramStart"/>
      <w:r>
        <w:rPr>
          <w:i/>
          <w:iCs/>
          <w:sz w:val="20"/>
          <w:szCs w:val="20"/>
        </w:rPr>
        <w:t>trauma :</w:t>
      </w:r>
      <w:proofErr w:type="gramEnd"/>
      <w:r>
        <w:rPr>
          <w:i/>
          <w:iCs/>
          <w:sz w:val="20"/>
          <w:szCs w:val="20"/>
        </w:rPr>
        <w:t xml:space="preserve"> theory, research, practice and policy</w:t>
      </w:r>
      <w:r>
        <w:rPr>
          <w:sz w:val="20"/>
          <w:szCs w:val="20"/>
        </w:rPr>
        <w:t xml:space="preserve">, </w:t>
      </w:r>
      <w:r>
        <w:rPr>
          <w:i/>
          <w:iCs/>
          <w:sz w:val="20"/>
          <w:szCs w:val="20"/>
        </w:rPr>
        <w:t>11</w:t>
      </w:r>
      <w:r>
        <w:rPr>
          <w:sz w:val="20"/>
          <w:szCs w:val="20"/>
        </w:rPr>
        <w:t>(1), 82–89. https://doi.org/10.1037/tra0000374</w:t>
      </w:r>
    </w:p>
    <w:p w14:paraId="235607C6" w14:textId="77777777" w:rsidR="000956C9" w:rsidRDefault="00F56A84">
      <w:pPr>
        <w:spacing w:after="80" w:line="240" w:lineRule="auto"/>
        <w:ind w:left="567" w:hanging="567"/>
        <w:jc w:val="left"/>
      </w:pPr>
      <w:r>
        <w:rPr>
          <w:sz w:val="20"/>
          <w:szCs w:val="20"/>
        </w:rPr>
        <w:t xml:space="preserve">Cobb, A. R., Tedeschi, R. G., Calhoun, L. G., &amp; </w:t>
      </w:r>
      <w:proofErr w:type="spellStart"/>
      <w:r>
        <w:rPr>
          <w:sz w:val="20"/>
          <w:szCs w:val="20"/>
        </w:rPr>
        <w:t>Cann</w:t>
      </w:r>
      <w:proofErr w:type="spellEnd"/>
      <w:r>
        <w:rPr>
          <w:sz w:val="20"/>
          <w:szCs w:val="20"/>
        </w:rPr>
        <w:t xml:space="preserve">, A. (2006). Correlates of posttraumatic growth in survivors of intimate partner violence. </w:t>
      </w:r>
      <w:r>
        <w:rPr>
          <w:i/>
          <w:iCs/>
          <w:sz w:val="20"/>
          <w:szCs w:val="20"/>
        </w:rPr>
        <w:t>Journal of Traumatic Stress, 19</w:t>
      </w:r>
      <w:r>
        <w:rPr>
          <w:sz w:val="20"/>
          <w:szCs w:val="20"/>
        </w:rPr>
        <w:t>(6), 895–903. https://doi.org/10.1002/jts.20171</w:t>
      </w:r>
    </w:p>
    <w:p w14:paraId="3674F5DF" w14:textId="77777777" w:rsidR="00E63D5B" w:rsidRDefault="001F059D">
      <w:pPr>
        <w:spacing w:after="80" w:line="240" w:lineRule="auto"/>
        <w:ind w:left="567" w:hanging="567"/>
        <w:jc w:val="left"/>
      </w:pPr>
      <w:r>
        <w:rPr>
          <w:sz w:val="20"/>
          <w:szCs w:val="20"/>
        </w:rPr>
        <w:t xml:space="preserve">Cohen, J. (1988). </w:t>
      </w:r>
      <w:r>
        <w:rPr>
          <w:i/>
          <w:iCs/>
          <w:sz w:val="20"/>
          <w:szCs w:val="20"/>
        </w:rPr>
        <w:t>Statistical power analysis for the behavioral sciences</w:t>
      </w:r>
      <w:r>
        <w:rPr>
          <w:sz w:val="20"/>
          <w:szCs w:val="20"/>
        </w:rPr>
        <w:t xml:space="preserve"> (2nd ed.). Lawrence Erlbaum Associates.</w:t>
      </w:r>
    </w:p>
    <w:p w14:paraId="400935AB" w14:textId="77777777" w:rsidR="00E63D5B" w:rsidRDefault="001F059D">
      <w:pPr>
        <w:spacing w:after="80" w:line="240" w:lineRule="auto"/>
        <w:ind w:left="567" w:hanging="567"/>
        <w:jc w:val="left"/>
      </w:pPr>
      <w:r>
        <w:rPr>
          <w:sz w:val="20"/>
          <w:szCs w:val="20"/>
        </w:rPr>
        <w:t>Cohen, J. A., Mannarino, A. P., &amp; Iyengar, S. (2011). Community treatment of posttraumatic stress disorder for children exposed to intimate partner violence: A randomized controlled trial. Archives of Pediatrics &amp; Adolescent Medicine, 165(1), 16–21. https://doi.org/10.1001/archpediatrics.2010.247</w:t>
      </w:r>
    </w:p>
    <w:p w14:paraId="3C5CA9CD" w14:textId="77777777" w:rsidR="00E63D5B" w:rsidRDefault="001F059D">
      <w:pPr>
        <w:spacing w:after="80" w:line="240" w:lineRule="auto"/>
        <w:ind w:left="567" w:hanging="567"/>
        <w:jc w:val="left"/>
      </w:pPr>
      <w:r>
        <w:rPr>
          <w:sz w:val="20"/>
          <w:szCs w:val="20"/>
        </w:rPr>
        <w:t xml:space="preserve">Cohen, S., </w:t>
      </w:r>
      <w:proofErr w:type="spellStart"/>
      <w:r>
        <w:rPr>
          <w:sz w:val="20"/>
          <w:szCs w:val="20"/>
        </w:rPr>
        <w:t>Kamarck</w:t>
      </w:r>
      <w:proofErr w:type="spellEnd"/>
      <w:r>
        <w:rPr>
          <w:sz w:val="20"/>
          <w:szCs w:val="20"/>
        </w:rPr>
        <w:t xml:space="preserve">, T., &amp; Mermelstein, R. (1983). A global measure of perceived stress. </w:t>
      </w:r>
      <w:r>
        <w:rPr>
          <w:i/>
          <w:iCs/>
          <w:sz w:val="20"/>
          <w:szCs w:val="20"/>
        </w:rPr>
        <w:t>Journal of Health and Social Behavior, 24</w:t>
      </w:r>
      <w:r>
        <w:rPr>
          <w:sz w:val="20"/>
          <w:szCs w:val="20"/>
        </w:rPr>
        <w:t>(4), 385–396. https://doi.org/10.2307/2136404</w:t>
      </w:r>
    </w:p>
    <w:p w14:paraId="49EAFEA8" w14:textId="77777777" w:rsidR="00E63D5B" w:rsidRDefault="001F059D">
      <w:pPr>
        <w:spacing w:after="80" w:line="240" w:lineRule="auto"/>
        <w:ind w:left="567" w:hanging="567"/>
        <w:jc w:val="left"/>
      </w:pPr>
      <w:r>
        <w:rPr>
          <w:sz w:val="20"/>
          <w:szCs w:val="20"/>
        </w:rPr>
        <w:t>Coker, A. L., Davis, K. E., Arias, I., Desai, S., Sanderson, M., Brandt, H. M., &amp; Smith, P. H. (2002). Physical and mental health effects of intimate partner violence for men and women. American journal of preventive medicine, 23(4), 260–268. https://doi.org/10.1016/s0749-3797(02)00514-7</w:t>
      </w:r>
    </w:p>
    <w:p w14:paraId="57383D0F" w14:textId="77777777" w:rsidR="00E63D5B" w:rsidRDefault="001F059D">
      <w:pPr>
        <w:spacing w:after="80" w:line="240" w:lineRule="auto"/>
        <w:ind w:left="567" w:hanging="567"/>
        <w:jc w:val="left"/>
      </w:pPr>
      <w:r>
        <w:rPr>
          <w:sz w:val="20"/>
          <w:szCs w:val="20"/>
        </w:rPr>
        <w:t xml:space="preserve">Committee on the Rights of the Child. (2011). </w:t>
      </w:r>
      <w:r>
        <w:rPr>
          <w:i/>
          <w:iCs/>
          <w:sz w:val="20"/>
          <w:szCs w:val="20"/>
        </w:rPr>
        <w:t>General Comment No. 13 (2011): The right of the child to freedom from all forms of violence</w:t>
      </w:r>
      <w:r>
        <w:rPr>
          <w:sz w:val="20"/>
          <w:szCs w:val="20"/>
        </w:rPr>
        <w:t>. United Nations.</w:t>
      </w:r>
    </w:p>
    <w:p w14:paraId="238B53F9" w14:textId="77777777" w:rsidR="00E63D5B" w:rsidRDefault="001F059D">
      <w:pPr>
        <w:spacing w:after="80" w:line="240" w:lineRule="auto"/>
        <w:ind w:left="567" w:hanging="567"/>
        <w:jc w:val="left"/>
      </w:pPr>
      <w:r>
        <w:rPr>
          <w:sz w:val="20"/>
          <w:szCs w:val="20"/>
        </w:rPr>
        <w:t xml:space="preserve">Connell, R. W. (1987). </w:t>
      </w:r>
      <w:r>
        <w:rPr>
          <w:i/>
          <w:iCs/>
          <w:sz w:val="20"/>
          <w:szCs w:val="20"/>
        </w:rPr>
        <w:t>Gender and power</w:t>
      </w:r>
      <w:r>
        <w:rPr>
          <w:sz w:val="20"/>
          <w:szCs w:val="20"/>
        </w:rPr>
        <w:t>. Stanford University Press.</w:t>
      </w:r>
    </w:p>
    <w:p w14:paraId="33214409" w14:textId="77777777" w:rsidR="00E63D5B" w:rsidRDefault="001F059D">
      <w:pPr>
        <w:spacing w:after="80" w:line="240" w:lineRule="auto"/>
        <w:ind w:left="567" w:hanging="567"/>
        <w:jc w:val="left"/>
      </w:pPr>
      <w:r>
        <w:rPr>
          <w:sz w:val="20"/>
          <w:szCs w:val="20"/>
        </w:rPr>
        <w:lastRenderedPageBreak/>
        <w:t xml:space="preserve">Costa, B. M., </w:t>
      </w:r>
      <w:proofErr w:type="spellStart"/>
      <w:r>
        <w:rPr>
          <w:sz w:val="20"/>
          <w:szCs w:val="20"/>
        </w:rPr>
        <w:t>Kaestle</w:t>
      </w:r>
      <w:proofErr w:type="spellEnd"/>
      <w:r>
        <w:rPr>
          <w:sz w:val="20"/>
          <w:szCs w:val="20"/>
        </w:rPr>
        <w:t xml:space="preserve">, C. E., Walker, A., Curtis, A., Day, A., </w:t>
      </w:r>
      <w:proofErr w:type="spellStart"/>
      <w:r>
        <w:rPr>
          <w:sz w:val="20"/>
          <w:szCs w:val="20"/>
        </w:rPr>
        <w:t>Toumbourou</w:t>
      </w:r>
      <w:proofErr w:type="spellEnd"/>
      <w:r>
        <w:rPr>
          <w:sz w:val="20"/>
          <w:szCs w:val="20"/>
        </w:rPr>
        <w:t xml:space="preserve">, J. W., &amp; Miller, P. (2015). </w:t>
      </w:r>
      <w:r>
        <w:rPr>
          <w:i/>
          <w:iCs/>
          <w:sz w:val="20"/>
          <w:szCs w:val="20"/>
        </w:rPr>
        <w:t>Longitudinal predictors of domestic violence perpetration and victimization: A systematic review</w:t>
      </w:r>
      <w:r>
        <w:rPr>
          <w:sz w:val="20"/>
          <w:szCs w:val="20"/>
        </w:rPr>
        <w:t>. Aggression and Violent Behavior, 24, 261–272. https://doi.org/10.1016/j.avb.2015.06.001</w:t>
      </w:r>
    </w:p>
    <w:p w14:paraId="1E3BD92D" w14:textId="77777777" w:rsidR="00E63D5B" w:rsidRDefault="001F059D">
      <w:pPr>
        <w:spacing w:after="80" w:line="240" w:lineRule="auto"/>
        <w:ind w:left="567" w:hanging="567"/>
        <w:jc w:val="left"/>
      </w:pPr>
      <w:r>
        <w:rPr>
          <w:sz w:val="20"/>
          <w:szCs w:val="20"/>
        </w:rPr>
        <w:t xml:space="preserve">Council of Europe. (2011). </w:t>
      </w:r>
      <w:r>
        <w:rPr>
          <w:i/>
          <w:iCs/>
          <w:sz w:val="20"/>
          <w:szCs w:val="20"/>
        </w:rPr>
        <w:t>Council of Europe Convention on preventing and combating violence against women and domestic violence</w:t>
      </w:r>
      <w:r>
        <w:rPr>
          <w:sz w:val="20"/>
          <w:szCs w:val="20"/>
        </w:rPr>
        <w:t xml:space="preserve"> (CETS No. 210). https://rm.coe.int/168008482e</w:t>
      </w:r>
    </w:p>
    <w:p w14:paraId="790746E5" w14:textId="77777777" w:rsidR="00E63D5B" w:rsidRDefault="001F059D">
      <w:pPr>
        <w:spacing w:after="80" w:line="240" w:lineRule="auto"/>
        <w:ind w:left="567" w:hanging="567"/>
        <w:jc w:val="left"/>
      </w:pPr>
      <w:r>
        <w:rPr>
          <w:sz w:val="20"/>
          <w:szCs w:val="20"/>
        </w:rPr>
        <w:t xml:space="preserve">Council of Europe [GREVIO]. (2023). </w:t>
      </w:r>
      <w:r>
        <w:rPr>
          <w:i/>
          <w:iCs/>
          <w:sz w:val="20"/>
          <w:szCs w:val="20"/>
        </w:rPr>
        <w:t>Baseline evaluation report on Greece</w:t>
      </w:r>
      <w:r>
        <w:rPr>
          <w:sz w:val="20"/>
          <w:szCs w:val="20"/>
        </w:rPr>
        <w:t>. Council of Europe.</w:t>
      </w:r>
    </w:p>
    <w:p w14:paraId="2737BE32" w14:textId="77777777" w:rsidR="00E63D5B" w:rsidRDefault="001F059D">
      <w:pPr>
        <w:spacing w:after="80" w:line="240" w:lineRule="auto"/>
        <w:ind w:left="567" w:hanging="567"/>
        <w:jc w:val="left"/>
      </w:pPr>
      <w:r>
        <w:rPr>
          <w:sz w:val="20"/>
          <w:szCs w:val="20"/>
        </w:rPr>
        <w:t xml:space="preserve">Counselman-Carpenter, E., &amp; Redcay, A. (2018). Mining for Posttraumatic Growth (PTG) in Sexual Minority Women Who Survive Intimate Partner Violence: A Conceptual Perspective. </w:t>
      </w:r>
      <w:r>
        <w:rPr>
          <w:i/>
          <w:iCs/>
          <w:sz w:val="20"/>
          <w:szCs w:val="20"/>
        </w:rPr>
        <w:t>Behavioral sciences</w:t>
      </w:r>
      <w:r>
        <w:rPr>
          <w:sz w:val="20"/>
          <w:szCs w:val="20"/>
        </w:rPr>
        <w:t xml:space="preserve">, </w:t>
      </w:r>
      <w:r>
        <w:rPr>
          <w:i/>
          <w:iCs/>
          <w:sz w:val="20"/>
          <w:szCs w:val="20"/>
        </w:rPr>
        <w:t>8</w:t>
      </w:r>
      <w:r>
        <w:rPr>
          <w:sz w:val="20"/>
          <w:szCs w:val="20"/>
        </w:rPr>
        <w:t>(9), 77. https://doi.org/10.3390/bs8090077</w:t>
      </w:r>
    </w:p>
    <w:p w14:paraId="20885982" w14:textId="77777777" w:rsidR="00E63D5B" w:rsidRDefault="001F059D">
      <w:pPr>
        <w:spacing w:after="80" w:line="240" w:lineRule="auto"/>
        <w:ind w:left="567" w:hanging="567"/>
        <w:jc w:val="left"/>
      </w:pPr>
      <w:r>
        <w:rPr>
          <w:sz w:val="20"/>
          <w:szCs w:val="20"/>
        </w:rPr>
        <w:t xml:space="preserve">Courtois, C. A. (2004). Complex trauma, complex reactions: Assessment and treatment. </w:t>
      </w:r>
      <w:r>
        <w:rPr>
          <w:i/>
          <w:iCs/>
          <w:sz w:val="20"/>
          <w:szCs w:val="20"/>
        </w:rPr>
        <w:t>Psychotherapy: Theory, Research, Practice, Training, 41</w:t>
      </w:r>
      <w:r>
        <w:rPr>
          <w:sz w:val="20"/>
          <w:szCs w:val="20"/>
        </w:rPr>
        <w:t>(4), 412–425. https://doi.org/10.1037/0033-3204.41.4.412</w:t>
      </w:r>
    </w:p>
    <w:p w14:paraId="29DEA5CC" w14:textId="77777777" w:rsidR="00E63D5B" w:rsidRDefault="001F059D">
      <w:pPr>
        <w:spacing w:after="80" w:line="240" w:lineRule="auto"/>
        <w:ind w:left="567" w:hanging="567"/>
        <w:jc w:val="left"/>
      </w:pPr>
      <w:r>
        <w:rPr>
          <w:sz w:val="20"/>
          <w:szCs w:val="20"/>
        </w:rPr>
        <w:t xml:space="preserve">Crenshaw, K. (1991). Mapping the margins: Intersectionality, identity politics, and violence against women of color. </w:t>
      </w:r>
      <w:r>
        <w:rPr>
          <w:i/>
          <w:iCs/>
          <w:sz w:val="20"/>
          <w:szCs w:val="20"/>
        </w:rPr>
        <w:t>Stanford Law Review, 43</w:t>
      </w:r>
      <w:r>
        <w:rPr>
          <w:sz w:val="20"/>
          <w:szCs w:val="20"/>
        </w:rPr>
        <w:t>(6), 1241–1299.</w:t>
      </w:r>
    </w:p>
    <w:p w14:paraId="5D8B4738" w14:textId="77777777" w:rsidR="00E63D5B" w:rsidRDefault="001F059D">
      <w:pPr>
        <w:spacing w:after="80" w:line="240" w:lineRule="auto"/>
        <w:ind w:left="567" w:hanging="567"/>
        <w:jc w:val="left"/>
      </w:pPr>
      <w:r>
        <w:rPr>
          <w:sz w:val="20"/>
          <w:szCs w:val="20"/>
        </w:rPr>
        <w:t xml:space="preserve">Creswell, J. W., &amp; Plano Clark, V. L. (2018). </w:t>
      </w:r>
      <w:r>
        <w:rPr>
          <w:i/>
          <w:iCs/>
          <w:sz w:val="20"/>
          <w:szCs w:val="20"/>
        </w:rPr>
        <w:t>Designing and Conducting Mixed Methods Research</w:t>
      </w:r>
      <w:r>
        <w:rPr>
          <w:sz w:val="20"/>
          <w:szCs w:val="20"/>
        </w:rPr>
        <w:t xml:space="preserve"> (3rd ed.). SAGE Publications.</w:t>
      </w:r>
    </w:p>
    <w:p w14:paraId="43380D74" w14:textId="77777777" w:rsidR="00E63D5B" w:rsidRDefault="001F059D">
      <w:pPr>
        <w:spacing w:after="80" w:line="240" w:lineRule="auto"/>
        <w:ind w:left="567" w:hanging="567"/>
        <w:jc w:val="left"/>
      </w:pPr>
      <w:r>
        <w:rPr>
          <w:sz w:val="20"/>
          <w:szCs w:val="20"/>
        </w:rPr>
        <w:t>Crick, N. R., &amp; Dodge, K. A. (1996). Social information-processing mechanisms in reactive and proactive aggression. Child Development, 67(3), 993–1002. https://doi.org/10.1111/j.1467-8624.1996.tb01778.x</w:t>
      </w:r>
    </w:p>
    <w:p w14:paraId="5868FA60" w14:textId="77777777" w:rsidR="00E63D5B" w:rsidRDefault="001F059D">
      <w:pPr>
        <w:spacing w:after="80" w:line="240" w:lineRule="auto"/>
        <w:ind w:left="567" w:hanging="567"/>
        <w:jc w:val="left"/>
      </w:pPr>
      <w:r>
        <w:rPr>
          <w:sz w:val="20"/>
          <w:szCs w:val="20"/>
        </w:rPr>
        <w:t xml:space="preserve">Cyr, C., Euser, E. M., </w:t>
      </w:r>
      <w:proofErr w:type="spellStart"/>
      <w:r>
        <w:rPr>
          <w:sz w:val="20"/>
          <w:szCs w:val="20"/>
        </w:rPr>
        <w:t>Bakermans</w:t>
      </w:r>
      <w:proofErr w:type="spellEnd"/>
      <w:r>
        <w:rPr>
          <w:sz w:val="20"/>
          <w:szCs w:val="20"/>
        </w:rPr>
        <w:t xml:space="preserve">-Kranenburg, M. J., &amp; Van </w:t>
      </w:r>
      <w:proofErr w:type="spellStart"/>
      <w:r>
        <w:rPr>
          <w:sz w:val="20"/>
          <w:szCs w:val="20"/>
        </w:rPr>
        <w:t>IJzendoorn</w:t>
      </w:r>
      <w:proofErr w:type="spellEnd"/>
      <w:r>
        <w:rPr>
          <w:sz w:val="20"/>
          <w:szCs w:val="20"/>
        </w:rPr>
        <w:t xml:space="preserve">, M. H. (2010). Attachment security and disorganization in maltreating and high-risk families: A series of meta-analyses. </w:t>
      </w:r>
      <w:r>
        <w:rPr>
          <w:i/>
          <w:iCs/>
          <w:sz w:val="20"/>
          <w:szCs w:val="20"/>
        </w:rPr>
        <w:t>Development and Psychopathology, 22</w:t>
      </w:r>
      <w:r>
        <w:rPr>
          <w:sz w:val="20"/>
          <w:szCs w:val="20"/>
        </w:rPr>
        <w:t>(1), 87–108. https://doi.org/10.1017/S0954579409990289</w:t>
      </w:r>
    </w:p>
    <w:p w14:paraId="4E5A098B" w14:textId="77777777" w:rsidR="00E63D5B" w:rsidRDefault="001F059D">
      <w:pPr>
        <w:spacing w:after="80" w:line="240" w:lineRule="auto"/>
        <w:ind w:left="567" w:hanging="567"/>
        <w:jc w:val="left"/>
      </w:pPr>
      <w:proofErr w:type="spellStart"/>
      <w:r>
        <w:rPr>
          <w:sz w:val="20"/>
          <w:szCs w:val="20"/>
        </w:rPr>
        <w:t>D'Amore</w:t>
      </w:r>
      <w:proofErr w:type="spellEnd"/>
      <w:r>
        <w:rPr>
          <w:sz w:val="20"/>
          <w:szCs w:val="20"/>
        </w:rPr>
        <w:t>, C., Martin, S. L., Wood, K., &amp; Brooks, C. (2021). Themes of Healing and Posttraumatic Growth in Women Survivors' Narratives of Intimate Partner Violence. Journal of Interpersonal Violence, 36(5–6), NP2697–NP2724. https://doi.org/10.1177/0886260518767909</w:t>
      </w:r>
    </w:p>
    <w:p w14:paraId="6F2CFD13" w14:textId="77777777" w:rsidR="00E63D5B" w:rsidRDefault="001F059D">
      <w:pPr>
        <w:spacing w:after="80" w:line="240" w:lineRule="auto"/>
        <w:ind w:left="567" w:hanging="567"/>
        <w:jc w:val="left"/>
      </w:pPr>
      <w:r>
        <w:rPr>
          <w:sz w:val="20"/>
          <w:szCs w:val="20"/>
        </w:rPr>
        <w:t xml:space="preserve">Danese, A., &amp; McEwen, B. S. (2012). Adverse childhood experiences, allostasis, allostatic load, and age-related disease. </w:t>
      </w:r>
      <w:r>
        <w:rPr>
          <w:i/>
          <w:iCs/>
          <w:sz w:val="20"/>
          <w:szCs w:val="20"/>
        </w:rPr>
        <w:t>Physiology &amp; Behavior, 106</w:t>
      </w:r>
      <w:r>
        <w:rPr>
          <w:sz w:val="20"/>
          <w:szCs w:val="20"/>
        </w:rPr>
        <w:t>(1), 29–39. https://doi.org/10.1016/j.physbeh.2011.08.019</w:t>
      </w:r>
    </w:p>
    <w:p w14:paraId="2BF5AB1A" w14:textId="77777777" w:rsidR="00E63D5B" w:rsidRDefault="001F059D">
      <w:pPr>
        <w:spacing w:after="80" w:line="240" w:lineRule="auto"/>
        <w:ind w:left="567" w:hanging="567"/>
        <w:jc w:val="left"/>
      </w:pPr>
      <w:r>
        <w:rPr>
          <w:sz w:val="20"/>
          <w:szCs w:val="20"/>
        </w:rPr>
        <w:t xml:space="preserve">Davies, P. T., &amp; Cummings, E. M. (1994). Marital conflict and child adjustment: An emotional security hypothesis. </w:t>
      </w:r>
      <w:r>
        <w:rPr>
          <w:i/>
          <w:iCs/>
          <w:sz w:val="20"/>
          <w:szCs w:val="20"/>
        </w:rPr>
        <w:t>Psychological Bulletin, 116</w:t>
      </w:r>
      <w:r>
        <w:rPr>
          <w:sz w:val="20"/>
          <w:szCs w:val="20"/>
        </w:rPr>
        <w:t>(3), 387–411. https://doi.org/10.1037/0033-2909.116.3.387</w:t>
      </w:r>
    </w:p>
    <w:p w14:paraId="0AB1DF30" w14:textId="77777777" w:rsidR="00E63D5B" w:rsidRDefault="001F059D">
      <w:pPr>
        <w:spacing w:after="80" w:line="240" w:lineRule="auto"/>
        <w:ind w:left="567" w:hanging="567"/>
        <w:jc w:val="left"/>
      </w:pPr>
      <w:r>
        <w:rPr>
          <w:sz w:val="20"/>
          <w:szCs w:val="20"/>
        </w:rPr>
        <w:t>Davis, A. (2014). Violence-related mild traumatic brain injury in women: Identifying a triad of postinjury disorders. Journal of Trauma Nursing, 21(6), 300–308. https://doi.org/10.1097/JTN.0000000000000086</w:t>
      </w:r>
    </w:p>
    <w:p w14:paraId="64CBE6A3" w14:textId="77777777" w:rsidR="00E63D5B" w:rsidRDefault="001F059D">
      <w:pPr>
        <w:spacing w:after="80" w:line="240" w:lineRule="auto"/>
        <w:ind w:left="567" w:hanging="567"/>
        <w:jc w:val="left"/>
      </w:pPr>
      <w:r>
        <w:rPr>
          <w:sz w:val="20"/>
          <w:szCs w:val="20"/>
        </w:rPr>
        <w:t xml:space="preserve">De Bellis, M. D., Keshavan, M. S., Clark, D. B., Casey, B. J., Giedd, J. N., Boring, A. M., Frustaci, K., &amp; Ryan, N. D. (1999). Developmental Traumatology Part II: Brain Development. </w:t>
      </w:r>
      <w:r>
        <w:rPr>
          <w:i/>
          <w:iCs/>
          <w:sz w:val="20"/>
          <w:szCs w:val="20"/>
        </w:rPr>
        <w:t>Biological Psychiatry, 45</w:t>
      </w:r>
      <w:r>
        <w:rPr>
          <w:sz w:val="20"/>
          <w:szCs w:val="20"/>
        </w:rPr>
        <w:t>(10), 1271–1284. https://pubmed.ncbi.nlm.nih.gov/10349033/</w:t>
      </w:r>
    </w:p>
    <w:p w14:paraId="7D5BEFE0" w14:textId="77777777" w:rsidR="00E63D5B" w:rsidRDefault="001F059D">
      <w:pPr>
        <w:spacing w:after="80" w:line="240" w:lineRule="auto"/>
        <w:ind w:left="567" w:hanging="567"/>
        <w:jc w:val="left"/>
      </w:pPr>
      <w:r>
        <w:rPr>
          <w:sz w:val="20"/>
          <w:szCs w:val="20"/>
        </w:rPr>
        <w:t xml:space="preserve">Devries, K. M., Mak, J. Y., Bacchus, L. J., Child, J. C., Falder, G., Petzold, M., Astbury, J., &amp; Watts, C. H. (2013b). Intimate partner violence and incident depressive symptoms and suicide attempts: a systematic review of longitudinal studies. </w:t>
      </w:r>
      <w:proofErr w:type="spellStart"/>
      <w:r>
        <w:rPr>
          <w:i/>
          <w:iCs/>
          <w:sz w:val="20"/>
          <w:szCs w:val="20"/>
        </w:rPr>
        <w:t>PLoS</w:t>
      </w:r>
      <w:proofErr w:type="spellEnd"/>
      <w:r>
        <w:rPr>
          <w:i/>
          <w:iCs/>
          <w:sz w:val="20"/>
          <w:szCs w:val="20"/>
        </w:rPr>
        <w:t xml:space="preserve"> medicine</w:t>
      </w:r>
      <w:r>
        <w:rPr>
          <w:sz w:val="20"/>
          <w:szCs w:val="20"/>
        </w:rPr>
        <w:t xml:space="preserve">, </w:t>
      </w:r>
      <w:r>
        <w:rPr>
          <w:i/>
          <w:iCs/>
          <w:sz w:val="20"/>
          <w:szCs w:val="20"/>
        </w:rPr>
        <w:t>10</w:t>
      </w:r>
      <w:r>
        <w:rPr>
          <w:sz w:val="20"/>
          <w:szCs w:val="20"/>
        </w:rPr>
        <w:t>(5), e1001439. https://doi.org/10.1371/journal.pmed.1001439</w:t>
      </w:r>
    </w:p>
    <w:p w14:paraId="4B0E5D75" w14:textId="77777777" w:rsidR="00E63D5B" w:rsidRDefault="001F059D">
      <w:pPr>
        <w:spacing w:after="80" w:line="240" w:lineRule="auto"/>
        <w:ind w:left="567" w:hanging="567"/>
        <w:jc w:val="left"/>
      </w:pPr>
      <w:r>
        <w:rPr>
          <w:sz w:val="20"/>
          <w:szCs w:val="20"/>
        </w:rPr>
        <w:t xml:space="preserve">Dillon, G., Hussain, R., Loxton, D., &amp; Rahman, S. (2013). Mental and physical health and intimate partner violence against women: A review of the literature. </w:t>
      </w:r>
      <w:r>
        <w:rPr>
          <w:i/>
          <w:iCs/>
          <w:sz w:val="20"/>
          <w:szCs w:val="20"/>
        </w:rPr>
        <w:t>International Journal of Family Medicine, 2013</w:t>
      </w:r>
      <w:r>
        <w:rPr>
          <w:sz w:val="20"/>
          <w:szCs w:val="20"/>
        </w:rPr>
        <w:t>, 1–15. https://doi.org/10.1155/2013/313909</w:t>
      </w:r>
    </w:p>
    <w:p w14:paraId="01243FBA" w14:textId="77777777" w:rsidR="00E63D5B" w:rsidRDefault="001F059D">
      <w:pPr>
        <w:spacing w:after="80" w:line="240" w:lineRule="auto"/>
        <w:ind w:left="567" w:hanging="567"/>
        <w:jc w:val="left"/>
      </w:pPr>
      <w:proofErr w:type="spellStart"/>
      <w:r>
        <w:rPr>
          <w:sz w:val="20"/>
          <w:szCs w:val="20"/>
        </w:rPr>
        <w:t>Dobash</w:t>
      </w:r>
      <w:proofErr w:type="spellEnd"/>
      <w:r>
        <w:rPr>
          <w:sz w:val="20"/>
          <w:szCs w:val="20"/>
        </w:rPr>
        <w:t xml:space="preserve">, R. E., &amp; </w:t>
      </w:r>
      <w:proofErr w:type="spellStart"/>
      <w:r>
        <w:rPr>
          <w:sz w:val="20"/>
          <w:szCs w:val="20"/>
        </w:rPr>
        <w:t>Dobash</w:t>
      </w:r>
      <w:proofErr w:type="spellEnd"/>
      <w:r>
        <w:rPr>
          <w:sz w:val="20"/>
          <w:szCs w:val="20"/>
        </w:rPr>
        <w:t xml:space="preserve">, R. P. (1979). </w:t>
      </w:r>
      <w:r>
        <w:rPr>
          <w:i/>
          <w:iCs/>
          <w:sz w:val="20"/>
          <w:szCs w:val="20"/>
        </w:rPr>
        <w:t xml:space="preserve">Violence against wives: A case against </w:t>
      </w:r>
      <w:proofErr w:type="gramStart"/>
      <w:r>
        <w:rPr>
          <w:i/>
          <w:iCs/>
          <w:sz w:val="20"/>
          <w:szCs w:val="20"/>
        </w:rPr>
        <w:t>the patriarchy</w:t>
      </w:r>
      <w:proofErr w:type="gramEnd"/>
      <w:r>
        <w:rPr>
          <w:sz w:val="20"/>
          <w:szCs w:val="20"/>
        </w:rPr>
        <w:t>. Free Press.</w:t>
      </w:r>
    </w:p>
    <w:p w14:paraId="66AD7D76" w14:textId="77777777" w:rsidR="00E63D5B" w:rsidRDefault="001F059D">
      <w:pPr>
        <w:spacing w:after="80" w:line="240" w:lineRule="auto"/>
        <w:ind w:left="567" w:hanging="567"/>
        <w:jc w:val="left"/>
      </w:pPr>
      <w:proofErr w:type="spellStart"/>
      <w:r>
        <w:rPr>
          <w:sz w:val="20"/>
          <w:szCs w:val="20"/>
        </w:rPr>
        <w:t>Dobash</w:t>
      </w:r>
      <w:proofErr w:type="spellEnd"/>
      <w:r>
        <w:rPr>
          <w:sz w:val="20"/>
          <w:szCs w:val="20"/>
        </w:rPr>
        <w:t xml:space="preserve">, R. E., &amp; </w:t>
      </w:r>
      <w:proofErr w:type="spellStart"/>
      <w:r>
        <w:rPr>
          <w:sz w:val="20"/>
          <w:szCs w:val="20"/>
        </w:rPr>
        <w:t>Dobash</w:t>
      </w:r>
      <w:proofErr w:type="spellEnd"/>
      <w:r>
        <w:rPr>
          <w:sz w:val="20"/>
          <w:szCs w:val="20"/>
        </w:rPr>
        <w:t xml:space="preserve">, R. P. (1992). </w:t>
      </w:r>
      <w:r>
        <w:rPr>
          <w:i/>
          <w:iCs/>
          <w:sz w:val="20"/>
          <w:szCs w:val="20"/>
        </w:rPr>
        <w:t>Women, violence and social change</w:t>
      </w:r>
      <w:r>
        <w:rPr>
          <w:sz w:val="20"/>
          <w:szCs w:val="20"/>
        </w:rPr>
        <w:t>. Routledge.</w:t>
      </w:r>
    </w:p>
    <w:p w14:paraId="28B30F3B" w14:textId="77777777" w:rsidR="00E63D5B" w:rsidRDefault="001F059D">
      <w:pPr>
        <w:spacing w:after="80" w:line="240" w:lineRule="auto"/>
        <w:ind w:left="567" w:hanging="567"/>
        <w:jc w:val="left"/>
      </w:pPr>
      <w:r>
        <w:rPr>
          <w:sz w:val="20"/>
          <w:szCs w:val="20"/>
        </w:rPr>
        <w:t>Dodge, K. A. (1991). The structure and function of proactive and reactive aggression. In D. J. Pepler &amp; K. H. Rubin (Eds.), The development and treatment of childhood aggression (pp. 201–218). Erlbaum.</w:t>
      </w:r>
    </w:p>
    <w:p w14:paraId="785C16EF" w14:textId="77777777" w:rsidR="00E63D5B" w:rsidRDefault="001F059D">
      <w:pPr>
        <w:spacing w:after="80" w:line="240" w:lineRule="auto"/>
        <w:ind w:left="567" w:hanging="567"/>
        <w:jc w:val="left"/>
      </w:pPr>
      <w:r>
        <w:rPr>
          <w:sz w:val="20"/>
          <w:szCs w:val="20"/>
        </w:rPr>
        <w:t xml:space="preserve">Donovan, B. M., Spracklen, C. N., Schweizer, M. L., Ryckman, K. K., &amp; </w:t>
      </w:r>
      <w:proofErr w:type="spellStart"/>
      <w:r>
        <w:rPr>
          <w:sz w:val="20"/>
          <w:szCs w:val="20"/>
        </w:rPr>
        <w:t>Saftlas</w:t>
      </w:r>
      <w:proofErr w:type="spellEnd"/>
      <w:r>
        <w:rPr>
          <w:sz w:val="20"/>
          <w:szCs w:val="20"/>
        </w:rPr>
        <w:t xml:space="preserve">, A. F. (2016). Intimate partner violence during pregnancy and the risk for adverse infant outcomes: A systematic review and meta-analysis. </w:t>
      </w:r>
      <w:r>
        <w:rPr>
          <w:i/>
          <w:iCs/>
          <w:sz w:val="20"/>
          <w:szCs w:val="20"/>
        </w:rPr>
        <w:t xml:space="preserve">BJOG: An International Journal of Obstetrics &amp; </w:t>
      </w:r>
      <w:proofErr w:type="spellStart"/>
      <w:r>
        <w:rPr>
          <w:i/>
          <w:iCs/>
          <w:sz w:val="20"/>
          <w:szCs w:val="20"/>
        </w:rPr>
        <w:t>Gynaecology</w:t>
      </w:r>
      <w:proofErr w:type="spellEnd"/>
      <w:r>
        <w:rPr>
          <w:i/>
          <w:iCs/>
          <w:sz w:val="20"/>
          <w:szCs w:val="20"/>
        </w:rPr>
        <w:t>, 123</w:t>
      </w:r>
      <w:r>
        <w:rPr>
          <w:sz w:val="20"/>
          <w:szCs w:val="20"/>
        </w:rPr>
        <w:t>(8), 1289–1299. https://doi.org/10.1111/1471-0528.13928</w:t>
      </w:r>
    </w:p>
    <w:p w14:paraId="7FE8BA1E" w14:textId="77777777" w:rsidR="00E63D5B" w:rsidRDefault="001F059D">
      <w:pPr>
        <w:spacing w:after="80" w:line="240" w:lineRule="auto"/>
        <w:ind w:left="567" w:hanging="567"/>
        <w:jc w:val="left"/>
      </w:pPr>
      <w:r>
        <w:rPr>
          <w:sz w:val="20"/>
          <w:szCs w:val="20"/>
        </w:rPr>
        <w:t xml:space="preserve">Dunkle, K. L., Jewkes, R. K., Brown, H. C., Gray, G. E., </w:t>
      </w:r>
      <w:proofErr w:type="spellStart"/>
      <w:r>
        <w:rPr>
          <w:sz w:val="20"/>
          <w:szCs w:val="20"/>
        </w:rPr>
        <w:t>McIntryre</w:t>
      </w:r>
      <w:proofErr w:type="spellEnd"/>
      <w:r>
        <w:rPr>
          <w:sz w:val="20"/>
          <w:szCs w:val="20"/>
        </w:rPr>
        <w:t>, J. A., &amp; Harlow, S. D. (2004). Gender-based violence, relationship power, and risk of HIV infection in women attending antenatal clinics in South Africa. The Lancet, 363(9419), 1415–1421. https://doi.org/10.1016/S0140-6736(04)16098-4</w:t>
      </w:r>
    </w:p>
    <w:p w14:paraId="1E39154D" w14:textId="77777777" w:rsidR="00E63D5B" w:rsidRDefault="001F059D">
      <w:pPr>
        <w:spacing w:after="80" w:line="240" w:lineRule="auto"/>
        <w:ind w:left="567" w:hanging="567"/>
        <w:jc w:val="left"/>
      </w:pPr>
      <w:r>
        <w:rPr>
          <w:sz w:val="20"/>
          <w:szCs w:val="20"/>
        </w:rPr>
        <w:lastRenderedPageBreak/>
        <w:t xml:space="preserve">Dutton, D. G., &amp; Corvo, K. (2006). </w:t>
      </w:r>
      <w:r>
        <w:rPr>
          <w:i/>
          <w:iCs/>
          <w:sz w:val="20"/>
          <w:szCs w:val="20"/>
        </w:rPr>
        <w:t>Transforming a Flawed Policy: A Call to Revive Psychology and Science in Domestic Violence Research and Practice</w:t>
      </w:r>
      <w:r>
        <w:rPr>
          <w:sz w:val="20"/>
          <w:szCs w:val="20"/>
        </w:rPr>
        <w:t>. Aggression and Violent Behavior, 11(5), 457–483 https://doi.org/10.1016/j.avb.2006.01.007</w:t>
      </w:r>
    </w:p>
    <w:p w14:paraId="0EF2DCF4" w14:textId="77777777" w:rsidR="00E63D5B" w:rsidRDefault="001F059D">
      <w:pPr>
        <w:spacing w:after="80" w:line="240" w:lineRule="auto"/>
        <w:ind w:left="567" w:hanging="567"/>
        <w:jc w:val="left"/>
      </w:pPr>
      <w:r>
        <w:rPr>
          <w:sz w:val="20"/>
          <w:szCs w:val="20"/>
        </w:rPr>
        <w:t xml:space="preserve">Dutton, D. G., &amp; Painter, S. L. (1993). Emotional attachments in abusive relationships: A test of traumatic bonding theory. </w:t>
      </w:r>
      <w:r>
        <w:rPr>
          <w:i/>
          <w:iCs/>
          <w:sz w:val="20"/>
          <w:szCs w:val="20"/>
        </w:rPr>
        <w:t>Violence and Victims, 8</w:t>
      </w:r>
      <w:r>
        <w:rPr>
          <w:sz w:val="20"/>
          <w:szCs w:val="20"/>
        </w:rPr>
        <w:t>(2), 105–120.</w:t>
      </w:r>
    </w:p>
    <w:p w14:paraId="1613360A" w14:textId="77777777" w:rsidR="00E63D5B" w:rsidRDefault="001F059D">
      <w:pPr>
        <w:spacing w:after="80" w:line="240" w:lineRule="auto"/>
        <w:ind w:left="567" w:hanging="567"/>
        <w:jc w:val="left"/>
      </w:pPr>
      <w:r>
        <w:rPr>
          <w:sz w:val="20"/>
          <w:szCs w:val="20"/>
        </w:rPr>
        <w:t xml:space="preserve">Dutton, M. A., &amp; Goodman, L. A. (2005). Coercion in intimate partner violence: Toward a new conceptualization. </w:t>
      </w:r>
      <w:r>
        <w:rPr>
          <w:i/>
          <w:iCs/>
          <w:sz w:val="20"/>
          <w:szCs w:val="20"/>
        </w:rPr>
        <w:t>Sex Roles, 52</w:t>
      </w:r>
      <w:r>
        <w:rPr>
          <w:sz w:val="20"/>
          <w:szCs w:val="20"/>
        </w:rPr>
        <w:t>(11–12), 743–756.</w:t>
      </w:r>
    </w:p>
    <w:p w14:paraId="7A0CD65A" w14:textId="77777777" w:rsidR="00E63D5B" w:rsidRDefault="001F059D">
      <w:pPr>
        <w:spacing w:after="80" w:line="240" w:lineRule="auto"/>
        <w:ind w:left="567" w:hanging="567"/>
        <w:jc w:val="left"/>
      </w:pPr>
      <w:r>
        <w:rPr>
          <w:sz w:val="20"/>
          <w:szCs w:val="20"/>
        </w:rPr>
        <w:t xml:space="preserve">Edwards, K. M., </w:t>
      </w:r>
      <w:proofErr w:type="spellStart"/>
      <w:r>
        <w:rPr>
          <w:sz w:val="20"/>
          <w:szCs w:val="20"/>
        </w:rPr>
        <w:t>Sylaska</w:t>
      </w:r>
      <w:proofErr w:type="spellEnd"/>
      <w:r>
        <w:rPr>
          <w:sz w:val="20"/>
          <w:szCs w:val="20"/>
        </w:rPr>
        <w:t xml:space="preserve">, K. M., &amp; Neal, A. M. (2015). </w:t>
      </w:r>
      <w:r>
        <w:rPr>
          <w:i/>
          <w:iCs/>
          <w:sz w:val="20"/>
          <w:szCs w:val="20"/>
        </w:rPr>
        <w:t>Intimate Partner Violence Among Sexual Minority Populations: A Critical Review of the Literature and Agenda for Future Research</w:t>
      </w:r>
      <w:r>
        <w:rPr>
          <w:sz w:val="20"/>
          <w:szCs w:val="20"/>
        </w:rPr>
        <w:t>. Psychology of Violence, 5(2), 112–121. https://doi.org/10.1037/a0038656</w:t>
      </w:r>
    </w:p>
    <w:p w14:paraId="598827CA" w14:textId="77777777" w:rsidR="00E63D5B" w:rsidRDefault="001F059D">
      <w:pPr>
        <w:spacing w:after="80" w:line="240" w:lineRule="auto"/>
        <w:ind w:left="567" w:hanging="567"/>
        <w:jc w:val="left"/>
      </w:pPr>
      <w:proofErr w:type="spellStart"/>
      <w:r>
        <w:rPr>
          <w:sz w:val="20"/>
          <w:szCs w:val="20"/>
        </w:rPr>
        <w:t>Ehrensaft</w:t>
      </w:r>
      <w:proofErr w:type="spellEnd"/>
      <w:r>
        <w:rPr>
          <w:sz w:val="20"/>
          <w:szCs w:val="20"/>
        </w:rPr>
        <w:t xml:space="preserve">, M. K., Cohen, P., Brown, J., Smailes, E., Chen, H., &amp; Johnson, J. G. (2003). Intergenerational transmission of partner violence: A 20-year prospective study. </w:t>
      </w:r>
      <w:r>
        <w:rPr>
          <w:i/>
          <w:iCs/>
          <w:sz w:val="20"/>
          <w:szCs w:val="20"/>
        </w:rPr>
        <w:t>Journal of Consulting and Clinical Psychology, 71</w:t>
      </w:r>
      <w:r>
        <w:rPr>
          <w:sz w:val="20"/>
          <w:szCs w:val="20"/>
        </w:rPr>
        <w:t>(4), 741–753. https://doi.org/10.1037/0022-006X.71.4.741</w:t>
      </w:r>
    </w:p>
    <w:p w14:paraId="576B5C34" w14:textId="77777777" w:rsidR="00E63D5B" w:rsidRDefault="001F059D">
      <w:pPr>
        <w:spacing w:after="80" w:line="240" w:lineRule="auto"/>
        <w:ind w:left="567" w:hanging="567"/>
        <w:jc w:val="left"/>
      </w:pPr>
      <w:proofErr w:type="spellStart"/>
      <w:r>
        <w:rPr>
          <w:sz w:val="20"/>
          <w:szCs w:val="20"/>
        </w:rPr>
        <w:t>Ehrensaft</w:t>
      </w:r>
      <w:proofErr w:type="spellEnd"/>
      <w:r>
        <w:rPr>
          <w:sz w:val="20"/>
          <w:szCs w:val="20"/>
        </w:rPr>
        <w:t>, M. K., Knous-Westfall, H., &amp; Cohen, P. (2017). Long-term influence of intimate partner violence and parenting practices on offspring trauma symptoms. Psychology of Violence, 7(2), 296–305. https://doi.org/10.1037/a0040168</w:t>
      </w:r>
    </w:p>
    <w:p w14:paraId="4CBD1F57" w14:textId="77777777" w:rsidR="00E63D5B" w:rsidRDefault="001F059D">
      <w:pPr>
        <w:spacing w:after="80" w:line="240" w:lineRule="auto"/>
        <w:ind w:left="567" w:hanging="567"/>
        <w:jc w:val="left"/>
      </w:pPr>
      <w:proofErr w:type="spellStart"/>
      <w:r>
        <w:rPr>
          <w:sz w:val="20"/>
          <w:szCs w:val="20"/>
        </w:rPr>
        <w:t>Ehrensaft</w:t>
      </w:r>
      <w:proofErr w:type="spellEnd"/>
      <w:r>
        <w:rPr>
          <w:sz w:val="20"/>
          <w:szCs w:val="20"/>
        </w:rPr>
        <w:t xml:space="preserve">, M. K., &amp; </w:t>
      </w:r>
      <w:proofErr w:type="spellStart"/>
      <w:r>
        <w:rPr>
          <w:sz w:val="20"/>
          <w:szCs w:val="20"/>
        </w:rPr>
        <w:t>Langhinrichsen</w:t>
      </w:r>
      <w:proofErr w:type="spellEnd"/>
      <w:r>
        <w:rPr>
          <w:sz w:val="20"/>
          <w:szCs w:val="20"/>
        </w:rPr>
        <w:t xml:space="preserve">-Rohling, J. (2022). Intergenerational transmission of intimate partner violence: Summary and current research on processes of transmission. In R. Geffner, J. W. White, L. K. Hamberger, A. Rosenbaum, V. Vaughan-Eden, &amp; V. I. Vieth (Eds.), </w:t>
      </w:r>
      <w:r>
        <w:rPr>
          <w:i/>
          <w:iCs/>
          <w:sz w:val="20"/>
          <w:szCs w:val="20"/>
        </w:rPr>
        <w:t>Handbook of interpersonal violence and abuse across the lifespan</w:t>
      </w:r>
      <w:r>
        <w:rPr>
          <w:sz w:val="20"/>
          <w:szCs w:val="20"/>
        </w:rPr>
        <w:t xml:space="preserve"> (pp. 2485–2509). Springer. https://doi.org/10.1007/978-3-319-89999-2_152</w:t>
      </w:r>
    </w:p>
    <w:p w14:paraId="0E682E64" w14:textId="77777777" w:rsidR="00E63D5B" w:rsidRDefault="001F059D">
      <w:pPr>
        <w:spacing w:after="80" w:line="240" w:lineRule="auto"/>
        <w:ind w:left="567" w:hanging="567"/>
        <w:jc w:val="left"/>
      </w:pPr>
      <w:r>
        <w:rPr>
          <w:sz w:val="20"/>
          <w:szCs w:val="20"/>
        </w:rPr>
        <w:t xml:space="preserve">Elderton, A., Berry, A., &amp; Chan, C. (2017). </w:t>
      </w:r>
      <w:r>
        <w:rPr>
          <w:i/>
          <w:iCs/>
          <w:sz w:val="20"/>
          <w:szCs w:val="20"/>
        </w:rPr>
        <w:t>A Systematic Review of Posttraumatic Growth in Survivors of Interpersonal Violence in Adulthood.</w:t>
      </w:r>
      <w:r>
        <w:rPr>
          <w:sz w:val="20"/>
          <w:szCs w:val="20"/>
        </w:rPr>
        <w:t xml:space="preserve"> Trauma, Violence, &amp; Abuse, 18(2), 223–236. https://doi.org/10.1177/1524838015611672</w:t>
      </w:r>
    </w:p>
    <w:p w14:paraId="4DC86760" w14:textId="77777777" w:rsidR="00E63D5B" w:rsidRDefault="001F059D">
      <w:pPr>
        <w:spacing w:after="80" w:line="240" w:lineRule="auto"/>
        <w:ind w:left="567" w:hanging="567"/>
        <w:jc w:val="left"/>
      </w:pPr>
      <w:r>
        <w:rPr>
          <w:sz w:val="20"/>
          <w:szCs w:val="20"/>
        </w:rPr>
        <w:t xml:space="preserve">Ellsberg, M., Jansen, H. A. F. M., Heise, L., Watts, C. H., &amp; García-Moreno, C. (2008). Intimate partner violence and women’s physical and mental health. </w:t>
      </w:r>
      <w:r>
        <w:rPr>
          <w:i/>
          <w:iCs/>
          <w:sz w:val="20"/>
          <w:szCs w:val="20"/>
        </w:rPr>
        <w:t>International Journal of Epidemiology, 37</w:t>
      </w:r>
      <w:r>
        <w:rPr>
          <w:sz w:val="20"/>
          <w:szCs w:val="20"/>
        </w:rPr>
        <w:t>(2), 453–466.</w:t>
      </w:r>
    </w:p>
    <w:p w14:paraId="1C32BECB" w14:textId="77777777" w:rsidR="00E63D5B" w:rsidRDefault="001F059D">
      <w:pPr>
        <w:spacing w:after="80" w:line="240" w:lineRule="auto"/>
        <w:ind w:left="567" w:hanging="567"/>
        <w:jc w:val="left"/>
      </w:pPr>
      <w:r>
        <w:rPr>
          <w:sz w:val="20"/>
          <w:szCs w:val="20"/>
        </w:rPr>
        <w:t>Erel, O., &amp; Burman, B. (1995). Interrelatedness of marital relations and parent–child relations: A meta-analytic review. Psychological Bulletin, 118(1), 108–132. https://doi.org/10.1037/0033-2909.118.1.108 PubMed</w:t>
      </w:r>
    </w:p>
    <w:p w14:paraId="61CE4151" w14:textId="77777777" w:rsidR="00E63D5B" w:rsidRDefault="001F059D">
      <w:pPr>
        <w:spacing w:after="80" w:line="240" w:lineRule="auto"/>
        <w:ind w:left="567" w:hanging="567"/>
        <w:jc w:val="left"/>
      </w:pPr>
      <w:r>
        <w:rPr>
          <w:sz w:val="20"/>
          <w:szCs w:val="20"/>
        </w:rPr>
        <w:t xml:space="preserve">Erez, E., Adelman, M., &amp; Gregory, C. (2009). Intersections of immigration and domestic violence. </w:t>
      </w:r>
      <w:r>
        <w:rPr>
          <w:i/>
          <w:iCs/>
          <w:sz w:val="20"/>
          <w:szCs w:val="20"/>
        </w:rPr>
        <w:t>Feminist Criminology, 4</w:t>
      </w:r>
      <w:r>
        <w:rPr>
          <w:sz w:val="20"/>
          <w:szCs w:val="20"/>
        </w:rPr>
        <w:t>(1), 32–56.</w:t>
      </w:r>
    </w:p>
    <w:p w14:paraId="40ACBCE2" w14:textId="77777777" w:rsidR="00E63D5B" w:rsidRDefault="001F059D">
      <w:pPr>
        <w:spacing w:after="80" w:line="240" w:lineRule="auto"/>
        <w:ind w:left="567" w:hanging="567"/>
        <w:jc w:val="left"/>
      </w:pPr>
      <w:r>
        <w:rPr>
          <w:sz w:val="20"/>
          <w:szCs w:val="20"/>
        </w:rPr>
        <w:t xml:space="preserve">European Commission. (2020). </w:t>
      </w:r>
      <w:r>
        <w:rPr>
          <w:i/>
          <w:iCs/>
          <w:sz w:val="20"/>
          <w:szCs w:val="20"/>
        </w:rPr>
        <w:t>A Union of Equality: Gender Equality Strategy 2020–2025</w:t>
      </w:r>
      <w:r>
        <w:rPr>
          <w:sz w:val="20"/>
          <w:szCs w:val="20"/>
        </w:rPr>
        <w:t>. https://commission.europa.eu/strategy-and-policy/policies/justice-and-fundamental-rights/gender-equality/gender-equality-strategy_en</w:t>
      </w:r>
    </w:p>
    <w:p w14:paraId="3DD6F8A0" w14:textId="77777777" w:rsidR="00E63D5B" w:rsidRDefault="001F059D">
      <w:pPr>
        <w:spacing w:after="80" w:line="240" w:lineRule="auto"/>
        <w:ind w:left="567" w:hanging="567"/>
        <w:jc w:val="left"/>
      </w:pPr>
      <w:r>
        <w:rPr>
          <w:sz w:val="20"/>
          <w:szCs w:val="20"/>
        </w:rPr>
        <w:t xml:space="preserve">European Institute for Gender Equality. (2025a). </w:t>
      </w:r>
      <w:r>
        <w:rPr>
          <w:i/>
          <w:iCs/>
          <w:sz w:val="20"/>
          <w:szCs w:val="20"/>
        </w:rPr>
        <w:t>Gender Equality Index 2024: Tackling violence against women, tackling gender inequalities</w:t>
      </w:r>
      <w:r>
        <w:rPr>
          <w:sz w:val="20"/>
          <w:szCs w:val="20"/>
        </w:rPr>
        <w:t>. Publications Office of the European Union. https://eige.europa.eu/publications-resources/publications/gender-equality-index-2024-tackling-violence-against-women-tackling-gender-inequalities</w:t>
      </w:r>
    </w:p>
    <w:p w14:paraId="7B0CF9BF" w14:textId="77777777" w:rsidR="00E63D5B" w:rsidRDefault="001F059D">
      <w:pPr>
        <w:spacing w:after="80" w:line="240" w:lineRule="auto"/>
        <w:ind w:left="567" w:hanging="567"/>
        <w:jc w:val="left"/>
      </w:pPr>
      <w:r>
        <w:rPr>
          <w:sz w:val="20"/>
          <w:szCs w:val="20"/>
        </w:rPr>
        <w:t xml:space="preserve">European Institute for Gender Equality. (2025b). </w:t>
      </w:r>
      <w:r>
        <w:rPr>
          <w:i/>
          <w:iCs/>
          <w:sz w:val="20"/>
          <w:szCs w:val="20"/>
        </w:rPr>
        <w:t>Gender Equality Index 2025</w:t>
      </w:r>
      <w:r>
        <w:rPr>
          <w:sz w:val="20"/>
          <w:szCs w:val="20"/>
        </w:rPr>
        <w:t>. https://eige.europa.eu/gender-equality-index</w:t>
      </w:r>
    </w:p>
    <w:p w14:paraId="3BD61C9B" w14:textId="77777777" w:rsidR="000956C9" w:rsidRDefault="00F56A84">
      <w:pPr>
        <w:spacing w:after="80" w:line="240" w:lineRule="auto"/>
        <w:ind w:left="567" w:hanging="567"/>
        <w:jc w:val="left"/>
      </w:pPr>
      <w:r>
        <w:rPr>
          <w:sz w:val="20"/>
          <w:szCs w:val="20"/>
        </w:rPr>
        <w:t xml:space="preserve">European Network for the Work with Perpetrators of Domestic Violence [WWP EN]. (2023). </w:t>
      </w:r>
      <w:r>
        <w:rPr>
          <w:i/>
          <w:iCs/>
          <w:sz w:val="20"/>
          <w:szCs w:val="20"/>
        </w:rPr>
        <w:t xml:space="preserve">European standards for perpetrator </w:t>
      </w:r>
      <w:proofErr w:type="spellStart"/>
      <w:r>
        <w:rPr>
          <w:i/>
          <w:iCs/>
          <w:sz w:val="20"/>
          <w:szCs w:val="20"/>
        </w:rPr>
        <w:t>programmes</w:t>
      </w:r>
      <w:proofErr w:type="spellEnd"/>
      <w:r>
        <w:rPr>
          <w:i/>
          <w:iCs/>
          <w:sz w:val="20"/>
          <w:szCs w:val="20"/>
        </w:rPr>
        <w:t xml:space="preserve">: Standards for survivor-safety-oriented intimate partner violence perpetrator </w:t>
      </w:r>
      <w:proofErr w:type="spellStart"/>
      <w:r>
        <w:rPr>
          <w:i/>
          <w:iCs/>
          <w:sz w:val="20"/>
          <w:szCs w:val="20"/>
        </w:rPr>
        <w:t>programmes</w:t>
      </w:r>
      <w:proofErr w:type="spellEnd"/>
      <w:r>
        <w:rPr>
          <w:sz w:val="20"/>
          <w:szCs w:val="20"/>
        </w:rPr>
        <w:t xml:space="preserve"> [Working document]. WWP EN. https://www.work-with-perpetrators.eu</w:t>
      </w:r>
    </w:p>
    <w:p w14:paraId="201448D7" w14:textId="77777777" w:rsidR="00E63D5B" w:rsidRDefault="001F059D">
      <w:pPr>
        <w:spacing w:after="80" w:line="240" w:lineRule="auto"/>
        <w:ind w:left="567" w:hanging="567"/>
        <w:jc w:val="left"/>
      </w:pPr>
      <w:r>
        <w:rPr>
          <w:sz w:val="20"/>
          <w:szCs w:val="20"/>
        </w:rPr>
        <w:t xml:space="preserve">European Union Agency for Fundamental Rights, &amp; European Institute for Gender Equality. (2026). </w:t>
      </w:r>
      <w:r>
        <w:rPr>
          <w:i/>
          <w:iCs/>
          <w:sz w:val="20"/>
          <w:szCs w:val="20"/>
        </w:rPr>
        <w:t>EU gender-based violence survey: Evidence for policy and practice</w:t>
      </w:r>
      <w:r>
        <w:rPr>
          <w:sz w:val="20"/>
          <w:szCs w:val="20"/>
        </w:rPr>
        <w:t>. Publications Office of the European Union.</w:t>
      </w:r>
    </w:p>
    <w:p w14:paraId="453B347A" w14:textId="77777777" w:rsidR="00E63D5B" w:rsidRDefault="001F059D">
      <w:pPr>
        <w:spacing w:after="80" w:line="240" w:lineRule="auto"/>
        <w:ind w:left="567" w:hanging="567"/>
        <w:jc w:val="left"/>
      </w:pPr>
      <w:r>
        <w:rPr>
          <w:sz w:val="20"/>
          <w:szCs w:val="20"/>
        </w:rPr>
        <w:t xml:space="preserve">European Union Agency for Fundamental Rights, European Institute for Gender Equality, &amp; Eurostat. (2024). </w:t>
      </w:r>
      <w:r>
        <w:rPr>
          <w:i/>
          <w:iCs/>
          <w:sz w:val="20"/>
          <w:szCs w:val="20"/>
        </w:rPr>
        <w:t>EU gender-based violence survey: Key results</w:t>
      </w:r>
      <w:r>
        <w:rPr>
          <w:sz w:val="20"/>
          <w:szCs w:val="20"/>
        </w:rPr>
        <w:t>. Publications Office of the European Union.</w:t>
      </w:r>
    </w:p>
    <w:p w14:paraId="0B58F408" w14:textId="77777777" w:rsidR="00E63D5B" w:rsidRDefault="001F059D">
      <w:pPr>
        <w:spacing w:after="80" w:line="240" w:lineRule="auto"/>
        <w:ind w:left="567" w:hanging="567"/>
        <w:jc w:val="left"/>
      </w:pPr>
      <w:r>
        <w:rPr>
          <w:sz w:val="20"/>
          <w:szCs w:val="20"/>
        </w:rPr>
        <w:t xml:space="preserve">Evans, S. E., Davies, C., &amp; DiLillo, D. (2008). Exposure to domestic violence: A meta-analysis. </w:t>
      </w:r>
      <w:r>
        <w:rPr>
          <w:i/>
          <w:iCs/>
          <w:sz w:val="20"/>
          <w:szCs w:val="20"/>
        </w:rPr>
        <w:t>Aggression and Violent Behavior, 13</w:t>
      </w:r>
      <w:r>
        <w:rPr>
          <w:sz w:val="20"/>
          <w:szCs w:val="20"/>
        </w:rPr>
        <w:t>(2), 131–140.</w:t>
      </w:r>
    </w:p>
    <w:p w14:paraId="6E9683DC" w14:textId="77777777" w:rsidR="00E63D5B" w:rsidRDefault="001F059D">
      <w:pPr>
        <w:spacing w:after="80" w:line="240" w:lineRule="auto"/>
        <w:ind w:left="567" w:hanging="567"/>
        <w:jc w:val="left"/>
      </w:pPr>
      <w:r>
        <w:rPr>
          <w:sz w:val="20"/>
          <w:szCs w:val="20"/>
        </w:rPr>
        <w:t xml:space="preserve">Fanslow, J. L., Mellar, B. M., Gulliver, P. J., &amp; McIntosh, T. K. D. (2023). Evidence of gender asymmetry in intimate partner violence experience at the population-level. </w:t>
      </w:r>
      <w:r>
        <w:rPr>
          <w:i/>
          <w:iCs/>
          <w:sz w:val="20"/>
          <w:szCs w:val="20"/>
        </w:rPr>
        <w:t>Journal of Interpersonal Violence, 38</w:t>
      </w:r>
      <w:r>
        <w:rPr>
          <w:sz w:val="20"/>
          <w:szCs w:val="20"/>
        </w:rPr>
        <w:t>(15–16), 9159–9188. https://doi.org/10.1177/08862605231163646</w:t>
      </w:r>
    </w:p>
    <w:p w14:paraId="1F4D8E87" w14:textId="77777777" w:rsidR="00E63D5B" w:rsidRDefault="001F059D">
      <w:pPr>
        <w:spacing w:after="80" w:line="240" w:lineRule="auto"/>
        <w:ind w:left="567" w:hanging="567"/>
        <w:jc w:val="left"/>
      </w:pPr>
      <w:r>
        <w:rPr>
          <w:sz w:val="20"/>
          <w:szCs w:val="20"/>
        </w:rPr>
        <w:lastRenderedPageBreak/>
        <w:t>Felitti, V. J., Anda, R. F., Nordenberg, D., Williamson, D. F., Spitz, A. M., Edwards, V., Koss, M. P., &amp; Marks, J. S. (1998). Relationship of Childhood Abuse and Household Dysfunction to Many of the Leading Causes of Death in Adults: The Adverse Childhood Experiences (ACE) Study. American Journal of Preventive Medicine, 14(4), 245–258. https://pubmed.ncbi.nlm.nih.gov/9635069/</w:t>
      </w:r>
    </w:p>
    <w:p w14:paraId="7D619167" w14:textId="77777777" w:rsidR="00E63D5B" w:rsidRDefault="001F059D">
      <w:pPr>
        <w:spacing w:after="80" w:line="240" w:lineRule="auto"/>
        <w:ind w:left="567" w:hanging="567"/>
        <w:jc w:val="left"/>
      </w:pPr>
      <w:r>
        <w:rPr>
          <w:sz w:val="20"/>
          <w:szCs w:val="20"/>
        </w:rPr>
        <w:t>Fernández-</w:t>
      </w:r>
      <w:proofErr w:type="spellStart"/>
      <w:r>
        <w:rPr>
          <w:sz w:val="20"/>
          <w:szCs w:val="20"/>
        </w:rPr>
        <w:t>Fillol</w:t>
      </w:r>
      <w:proofErr w:type="spellEnd"/>
      <w:r>
        <w:rPr>
          <w:sz w:val="20"/>
          <w:szCs w:val="20"/>
        </w:rPr>
        <w:t xml:space="preserve">, C., </w:t>
      </w:r>
      <w:proofErr w:type="spellStart"/>
      <w:r>
        <w:rPr>
          <w:sz w:val="20"/>
          <w:szCs w:val="20"/>
        </w:rPr>
        <w:t>Pitsiakou</w:t>
      </w:r>
      <w:proofErr w:type="spellEnd"/>
      <w:r>
        <w:rPr>
          <w:sz w:val="20"/>
          <w:szCs w:val="20"/>
        </w:rPr>
        <w:t>, C., Perez-Garcia, M., Teva, I., &amp; Hidalgo-</w:t>
      </w:r>
      <w:proofErr w:type="spellStart"/>
      <w:r>
        <w:rPr>
          <w:sz w:val="20"/>
          <w:szCs w:val="20"/>
        </w:rPr>
        <w:t>Ruzzante</w:t>
      </w:r>
      <w:proofErr w:type="spellEnd"/>
      <w:r>
        <w:rPr>
          <w:sz w:val="20"/>
          <w:szCs w:val="20"/>
        </w:rPr>
        <w:t xml:space="preserve">, N. (2021). Complex PTSD in survivors of intimate partner violence: risk factors related to symptoms and diagnoses. European journal of </w:t>
      </w:r>
      <w:proofErr w:type="spellStart"/>
      <w:r>
        <w:rPr>
          <w:sz w:val="20"/>
          <w:szCs w:val="20"/>
        </w:rPr>
        <w:t>psychotraumatology</w:t>
      </w:r>
      <w:proofErr w:type="spellEnd"/>
      <w:r>
        <w:rPr>
          <w:sz w:val="20"/>
          <w:szCs w:val="20"/>
        </w:rPr>
        <w:t>, 12(1), 2003616. https://doi.org/10.1080/20008198.2021.2003616</w:t>
      </w:r>
    </w:p>
    <w:p w14:paraId="23141DBF" w14:textId="77777777" w:rsidR="00E63D5B" w:rsidRDefault="001F059D">
      <w:pPr>
        <w:spacing w:after="80" w:line="240" w:lineRule="auto"/>
        <w:ind w:left="567" w:hanging="567"/>
        <w:jc w:val="left"/>
      </w:pPr>
      <w:proofErr w:type="spellStart"/>
      <w:r>
        <w:rPr>
          <w:sz w:val="20"/>
          <w:szCs w:val="20"/>
        </w:rPr>
        <w:t>Finkelhor</w:t>
      </w:r>
      <w:proofErr w:type="spellEnd"/>
      <w:r>
        <w:rPr>
          <w:sz w:val="20"/>
          <w:szCs w:val="20"/>
        </w:rPr>
        <w:t xml:space="preserve">, D., Ormrod, R. K., &amp; Turner, H. A. (2007). Poly-victimization: A neglected component in child victimization. </w:t>
      </w:r>
      <w:r>
        <w:rPr>
          <w:i/>
          <w:iCs/>
          <w:sz w:val="20"/>
          <w:szCs w:val="20"/>
        </w:rPr>
        <w:t>Child Abuse &amp; Neglect, 31</w:t>
      </w:r>
      <w:r>
        <w:rPr>
          <w:sz w:val="20"/>
          <w:szCs w:val="20"/>
        </w:rPr>
        <w:t>(1), 7–26. https://doi.org/10.1016/j.chiabu.2006.06.008</w:t>
      </w:r>
    </w:p>
    <w:p w14:paraId="55C5EFA4" w14:textId="77777777" w:rsidR="00E63D5B" w:rsidRDefault="001F059D">
      <w:pPr>
        <w:spacing w:after="80" w:line="240" w:lineRule="auto"/>
        <w:ind w:left="567" w:hanging="567"/>
        <w:jc w:val="left"/>
      </w:pPr>
      <w:r>
        <w:rPr>
          <w:sz w:val="20"/>
          <w:szCs w:val="20"/>
        </w:rPr>
        <w:t xml:space="preserve">Flach, C., Leese, M., Heron, J., Evans, J., Feder, G., Sharp, D., &amp; Howard, L. M. (2011). Antenatal domestic violence, maternal mental health and subsequent child </w:t>
      </w:r>
      <w:proofErr w:type="spellStart"/>
      <w:r>
        <w:rPr>
          <w:sz w:val="20"/>
          <w:szCs w:val="20"/>
        </w:rPr>
        <w:t>behaviour</w:t>
      </w:r>
      <w:proofErr w:type="spellEnd"/>
      <w:r>
        <w:rPr>
          <w:sz w:val="20"/>
          <w:szCs w:val="20"/>
        </w:rPr>
        <w:t xml:space="preserve">: A cohort study. </w:t>
      </w:r>
      <w:r>
        <w:rPr>
          <w:i/>
          <w:iCs/>
          <w:sz w:val="20"/>
          <w:szCs w:val="20"/>
        </w:rPr>
        <w:t xml:space="preserve">BJOG: An International Journal of Obstetrics &amp; </w:t>
      </w:r>
      <w:proofErr w:type="spellStart"/>
      <w:r>
        <w:rPr>
          <w:i/>
          <w:iCs/>
          <w:sz w:val="20"/>
          <w:szCs w:val="20"/>
        </w:rPr>
        <w:t>Gynaecology</w:t>
      </w:r>
      <w:proofErr w:type="spellEnd"/>
      <w:r>
        <w:rPr>
          <w:i/>
          <w:iCs/>
          <w:sz w:val="20"/>
          <w:szCs w:val="20"/>
        </w:rPr>
        <w:t>, 118</w:t>
      </w:r>
      <w:r>
        <w:rPr>
          <w:sz w:val="20"/>
          <w:szCs w:val="20"/>
        </w:rPr>
        <w:t>(11), 1383–1391. https://doi.org/10.1111/j.1471-0528.2011.03040.x</w:t>
      </w:r>
    </w:p>
    <w:p w14:paraId="25875CD1" w14:textId="77777777" w:rsidR="00E63D5B" w:rsidRDefault="001F059D">
      <w:pPr>
        <w:spacing w:after="80" w:line="240" w:lineRule="auto"/>
        <w:ind w:left="567" w:hanging="567"/>
        <w:jc w:val="left"/>
      </w:pPr>
      <w:r>
        <w:rPr>
          <w:sz w:val="20"/>
          <w:szCs w:val="20"/>
        </w:rPr>
        <w:t>Fong, V. C., Hawes, D., &amp; Allen, J. L. (2019). A systematic review of risk and protective factors for externalizing problems in children exposed to intimate partner violence. Trauma, Violence, &amp; Abuse, 20(2), 149–167. https://doi.org/10.1177/1524838017692383</w:t>
      </w:r>
    </w:p>
    <w:p w14:paraId="55008987" w14:textId="77777777" w:rsidR="00E63D5B" w:rsidRDefault="001F059D">
      <w:pPr>
        <w:spacing w:after="80" w:line="240" w:lineRule="auto"/>
        <w:ind w:left="567" w:hanging="567"/>
        <w:jc w:val="left"/>
      </w:pPr>
      <w:r>
        <w:rPr>
          <w:sz w:val="20"/>
          <w:szCs w:val="20"/>
        </w:rPr>
        <w:t xml:space="preserve">Foshee, V. A., Bauman, K. E., &amp; Linder, G. F. (1999). Family violence and the perpetration of adolescent dating violence: Examining social learning and social control processes. </w:t>
      </w:r>
      <w:r>
        <w:rPr>
          <w:i/>
          <w:iCs/>
          <w:sz w:val="20"/>
          <w:szCs w:val="20"/>
        </w:rPr>
        <w:t>Journal of Marriage and the Family, 61</w:t>
      </w:r>
      <w:r>
        <w:rPr>
          <w:sz w:val="20"/>
          <w:szCs w:val="20"/>
        </w:rPr>
        <w:t>(2), 331–342.</w:t>
      </w:r>
    </w:p>
    <w:p w14:paraId="10A8E473" w14:textId="77777777" w:rsidR="00E63D5B" w:rsidRDefault="001F059D">
      <w:pPr>
        <w:spacing w:after="80" w:line="240" w:lineRule="auto"/>
        <w:ind w:left="567" w:hanging="567"/>
        <w:jc w:val="left"/>
      </w:pPr>
      <w:r>
        <w:rPr>
          <w:sz w:val="20"/>
          <w:szCs w:val="20"/>
        </w:rPr>
        <w:t xml:space="preserve">Fowler, D. N. (2007). The extent of substance use problems among women partner abuse survivors residing in a domestic violence shelter. </w:t>
      </w:r>
      <w:r>
        <w:rPr>
          <w:i/>
          <w:iCs/>
          <w:sz w:val="20"/>
          <w:szCs w:val="20"/>
        </w:rPr>
        <w:t>Family &amp; Community Health, 30</w:t>
      </w:r>
      <w:r>
        <w:rPr>
          <w:sz w:val="20"/>
          <w:szCs w:val="20"/>
        </w:rPr>
        <w:t>(1 Suppl.), S106–S108. https://doi.org/10.1097/00003727-200701001-00014</w:t>
      </w:r>
    </w:p>
    <w:p w14:paraId="3A50D28A" w14:textId="77777777" w:rsidR="00E63D5B" w:rsidRDefault="001F059D">
      <w:pPr>
        <w:spacing w:after="80" w:line="240" w:lineRule="auto"/>
        <w:ind w:left="567" w:hanging="567"/>
        <w:jc w:val="left"/>
      </w:pPr>
      <w:r>
        <w:rPr>
          <w:sz w:val="20"/>
          <w:szCs w:val="20"/>
        </w:rPr>
        <w:t xml:space="preserve">Fraiberg, S., Adelson, E., &amp; Shapiro, V. (1975). Ghosts in the nursery: A psychoanalytic approach to the problems of impaired infant–mother relationships. </w:t>
      </w:r>
      <w:r>
        <w:rPr>
          <w:i/>
          <w:iCs/>
          <w:sz w:val="20"/>
          <w:szCs w:val="20"/>
        </w:rPr>
        <w:t>Journal of the American Academy of Child Psychiatry, 14</w:t>
      </w:r>
      <w:r>
        <w:rPr>
          <w:sz w:val="20"/>
          <w:szCs w:val="20"/>
        </w:rPr>
        <w:t>(3), 387–421. https://doi.org/10.1016/S0002-7138(09)61442-4</w:t>
      </w:r>
    </w:p>
    <w:p w14:paraId="49A9CBE7" w14:textId="77777777" w:rsidR="00E63D5B" w:rsidRDefault="001F059D">
      <w:pPr>
        <w:spacing w:after="80" w:line="240" w:lineRule="auto"/>
        <w:ind w:left="567" w:hanging="567"/>
        <w:jc w:val="left"/>
      </w:pPr>
      <w:r>
        <w:rPr>
          <w:sz w:val="20"/>
          <w:szCs w:val="20"/>
        </w:rPr>
        <w:t xml:space="preserve">Freyd, J. J. (1996). </w:t>
      </w:r>
      <w:r>
        <w:rPr>
          <w:i/>
          <w:iCs/>
          <w:sz w:val="20"/>
          <w:szCs w:val="20"/>
        </w:rPr>
        <w:t>Betrayal trauma: The logic of forgetting childhood abuse</w:t>
      </w:r>
      <w:r>
        <w:rPr>
          <w:sz w:val="20"/>
          <w:szCs w:val="20"/>
        </w:rPr>
        <w:t>. Harvard University Press.</w:t>
      </w:r>
    </w:p>
    <w:p w14:paraId="1200399B" w14:textId="77777777" w:rsidR="00E63D5B" w:rsidRDefault="001F059D">
      <w:pPr>
        <w:spacing w:after="80" w:line="240" w:lineRule="auto"/>
        <w:ind w:left="567" w:hanging="567"/>
        <w:jc w:val="left"/>
      </w:pPr>
      <w:r>
        <w:rPr>
          <w:sz w:val="20"/>
          <w:szCs w:val="20"/>
        </w:rPr>
        <w:t xml:space="preserve">Freyd, J. J. (1997). Violations of power, adaptive blindness and betrayal trauma theory. </w:t>
      </w:r>
      <w:r>
        <w:rPr>
          <w:i/>
          <w:iCs/>
          <w:sz w:val="20"/>
          <w:szCs w:val="20"/>
        </w:rPr>
        <w:t>Feminism &amp; Psychology, 7</w:t>
      </w:r>
      <w:r>
        <w:rPr>
          <w:sz w:val="20"/>
          <w:szCs w:val="20"/>
        </w:rPr>
        <w:t>(1), 22–32. https://doi.org/10.1177/0959353597071004</w:t>
      </w:r>
    </w:p>
    <w:p w14:paraId="2DAEBD3C" w14:textId="77777777" w:rsidR="00E63D5B" w:rsidRDefault="001F059D">
      <w:pPr>
        <w:spacing w:after="80" w:line="240" w:lineRule="auto"/>
        <w:ind w:left="567" w:hanging="567"/>
        <w:jc w:val="left"/>
      </w:pPr>
      <w:r>
        <w:rPr>
          <w:sz w:val="20"/>
          <w:szCs w:val="20"/>
        </w:rPr>
        <w:t xml:space="preserve">García-Moreno, C., Jansen, H. A. F. M., Ellsberg, M., Heise, L., &amp; Watts, C. (2006). Prevalence of intimate partner violence: Findings from the WHO multi-country study on women’s health and domestic violence. </w:t>
      </w:r>
      <w:r>
        <w:rPr>
          <w:i/>
          <w:iCs/>
          <w:sz w:val="20"/>
          <w:szCs w:val="20"/>
        </w:rPr>
        <w:t>The Lancet, 368</w:t>
      </w:r>
      <w:r>
        <w:rPr>
          <w:sz w:val="20"/>
          <w:szCs w:val="20"/>
        </w:rPr>
        <w:t>(9543), 1260–1269. https://doi.org/10.1016/S0140-6736(06)69523-8</w:t>
      </w:r>
    </w:p>
    <w:p w14:paraId="239E7D0B" w14:textId="77777777" w:rsidR="00E63D5B" w:rsidRDefault="001F059D">
      <w:pPr>
        <w:spacing w:after="80" w:line="240" w:lineRule="auto"/>
        <w:ind w:left="567" w:hanging="567"/>
        <w:jc w:val="left"/>
      </w:pPr>
      <w:proofErr w:type="spellStart"/>
      <w:r>
        <w:rPr>
          <w:sz w:val="20"/>
          <w:szCs w:val="20"/>
        </w:rPr>
        <w:t>Gélinas</w:t>
      </w:r>
      <w:proofErr w:type="spellEnd"/>
      <w:r>
        <w:rPr>
          <w:sz w:val="20"/>
          <w:szCs w:val="20"/>
        </w:rPr>
        <w:t xml:space="preserve">, J., </w:t>
      </w:r>
      <w:proofErr w:type="spellStart"/>
      <w:r>
        <w:rPr>
          <w:sz w:val="20"/>
          <w:szCs w:val="20"/>
        </w:rPr>
        <w:t>Claing</w:t>
      </w:r>
      <w:proofErr w:type="spellEnd"/>
      <w:r>
        <w:rPr>
          <w:sz w:val="20"/>
          <w:szCs w:val="20"/>
        </w:rPr>
        <w:t xml:space="preserve">, A., Dugal, C., Savard, C., </w:t>
      </w:r>
      <w:proofErr w:type="spellStart"/>
      <w:r>
        <w:rPr>
          <w:sz w:val="20"/>
          <w:szCs w:val="20"/>
        </w:rPr>
        <w:t>Daspe</w:t>
      </w:r>
      <w:proofErr w:type="spellEnd"/>
      <w:r>
        <w:rPr>
          <w:sz w:val="20"/>
          <w:szCs w:val="20"/>
        </w:rPr>
        <w:t xml:space="preserve">, M. È., </w:t>
      </w:r>
      <w:proofErr w:type="spellStart"/>
      <w:r>
        <w:rPr>
          <w:sz w:val="20"/>
          <w:szCs w:val="20"/>
        </w:rPr>
        <w:t>Péloquin</w:t>
      </w:r>
      <w:proofErr w:type="spellEnd"/>
      <w:r>
        <w:rPr>
          <w:sz w:val="20"/>
          <w:szCs w:val="20"/>
        </w:rPr>
        <w:t xml:space="preserve">, K., Godbout, N., &amp; Brassard, A. (2025). Intergenerational transmission of childhood interpersonal trauma in adults entering therapy for intimate partner violence: The role of identity diffusion. </w:t>
      </w:r>
      <w:r>
        <w:rPr>
          <w:i/>
          <w:iCs/>
          <w:sz w:val="20"/>
          <w:szCs w:val="20"/>
        </w:rPr>
        <w:t>Child abuse &amp; neglect</w:t>
      </w:r>
      <w:r>
        <w:rPr>
          <w:sz w:val="20"/>
          <w:szCs w:val="20"/>
        </w:rPr>
        <w:t xml:space="preserve">, </w:t>
      </w:r>
      <w:r>
        <w:rPr>
          <w:i/>
          <w:iCs/>
          <w:sz w:val="20"/>
          <w:szCs w:val="20"/>
        </w:rPr>
        <w:t>161</w:t>
      </w:r>
      <w:r>
        <w:rPr>
          <w:sz w:val="20"/>
          <w:szCs w:val="20"/>
        </w:rPr>
        <w:t>, 107258. https://doi.org/10.1016/j.chiabu.2025.107258</w:t>
      </w:r>
    </w:p>
    <w:p w14:paraId="122FC519" w14:textId="77777777" w:rsidR="00E63D5B" w:rsidRDefault="001F059D">
      <w:pPr>
        <w:spacing w:after="80" w:line="240" w:lineRule="auto"/>
        <w:ind w:left="567" w:hanging="567"/>
        <w:jc w:val="left"/>
      </w:pPr>
      <w:r>
        <w:rPr>
          <w:sz w:val="20"/>
          <w:szCs w:val="20"/>
        </w:rPr>
        <w:t xml:space="preserve">Gelles, R. J. (1983). An exchange/social control theory. In D. </w:t>
      </w:r>
      <w:proofErr w:type="spellStart"/>
      <w:r>
        <w:rPr>
          <w:sz w:val="20"/>
          <w:szCs w:val="20"/>
        </w:rPr>
        <w:t>Finkelhor</w:t>
      </w:r>
      <w:proofErr w:type="spellEnd"/>
      <w:r>
        <w:rPr>
          <w:sz w:val="20"/>
          <w:szCs w:val="20"/>
        </w:rPr>
        <w:t xml:space="preserve">, R. J. Gelles, G. T. Hotaling, &amp; M. A. Straus (Eds.), </w:t>
      </w:r>
      <w:r>
        <w:rPr>
          <w:i/>
          <w:iCs/>
          <w:sz w:val="20"/>
          <w:szCs w:val="20"/>
        </w:rPr>
        <w:t>The dark side of families: Current family violence research</w:t>
      </w:r>
      <w:r>
        <w:rPr>
          <w:sz w:val="20"/>
          <w:szCs w:val="20"/>
        </w:rPr>
        <w:t xml:space="preserve"> (pp. 151–165). Sage.</w:t>
      </w:r>
    </w:p>
    <w:p w14:paraId="4DA9091A" w14:textId="77777777" w:rsidR="00E63D5B" w:rsidRDefault="001F059D">
      <w:pPr>
        <w:spacing w:after="80" w:line="240" w:lineRule="auto"/>
        <w:ind w:left="567" w:hanging="567"/>
        <w:jc w:val="left"/>
      </w:pPr>
      <w:r>
        <w:rPr>
          <w:sz w:val="20"/>
          <w:szCs w:val="20"/>
        </w:rPr>
        <w:t xml:space="preserve">Giannakopoulos, G., Tzavara, C., </w:t>
      </w:r>
      <w:proofErr w:type="spellStart"/>
      <w:r>
        <w:rPr>
          <w:sz w:val="20"/>
          <w:szCs w:val="20"/>
        </w:rPr>
        <w:t>Dimitrakaki</w:t>
      </w:r>
      <w:proofErr w:type="spellEnd"/>
      <w:r>
        <w:rPr>
          <w:sz w:val="20"/>
          <w:szCs w:val="20"/>
        </w:rPr>
        <w:t xml:space="preserve">, C., </w:t>
      </w:r>
      <w:proofErr w:type="spellStart"/>
      <w:r>
        <w:rPr>
          <w:sz w:val="20"/>
          <w:szCs w:val="20"/>
        </w:rPr>
        <w:t>Kolaitis</w:t>
      </w:r>
      <w:proofErr w:type="spellEnd"/>
      <w:r>
        <w:rPr>
          <w:sz w:val="20"/>
          <w:szCs w:val="20"/>
        </w:rPr>
        <w:t xml:space="preserve">, G., Rotsika, V., &amp; Tountas, Y. (2009). The factor structure of the Strengths and Difficulties Questionnaire (SDQ) in Greek adolescents. </w:t>
      </w:r>
      <w:r>
        <w:rPr>
          <w:i/>
          <w:iCs/>
          <w:sz w:val="20"/>
          <w:szCs w:val="20"/>
        </w:rPr>
        <w:t>Annals of General Psychiatry, 8</w:t>
      </w:r>
      <w:r>
        <w:rPr>
          <w:sz w:val="20"/>
          <w:szCs w:val="20"/>
        </w:rPr>
        <w:t>, 20. https://doi.org/10.1186/1744-859X-8-20</w:t>
      </w:r>
    </w:p>
    <w:p w14:paraId="68CF0D0C" w14:textId="77777777" w:rsidR="00E63D5B" w:rsidRDefault="001F059D">
      <w:pPr>
        <w:spacing w:after="80" w:line="240" w:lineRule="auto"/>
        <w:ind w:left="567" w:hanging="567"/>
        <w:jc w:val="left"/>
      </w:pPr>
      <w:r>
        <w:rPr>
          <w:sz w:val="20"/>
          <w:szCs w:val="20"/>
        </w:rPr>
        <w:t xml:space="preserve">Giannopoulou, I., Smith, P., Ecker, C., </w:t>
      </w:r>
      <w:proofErr w:type="spellStart"/>
      <w:r>
        <w:rPr>
          <w:sz w:val="20"/>
          <w:szCs w:val="20"/>
        </w:rPr>
        <w:t>Strouthos</w:t>
      </w:r>
      <w:proofErr w:type="spellEnd"/>
      <w:r>
        <w:rPr>
          <w:sz w:val="20"/>
          <w:szCs w:val="20"/>
        </w:rPr>
        <w:t xml:space="preserve">, M., </w:t>
      </w:r>
      <w:proofErr w:type="spellStart"/>
      <w:r>
        <w:rPr>
          <w:sz w:val="20"/>
          <w:szCs w:val="20"/>
        </w:rPr>
        <w:t>Dikaiakou</w:t>
      </w:r>
      <w:proofErr w:type="spellEnd"/>
      <w:r>
        <w:rPr>
          <w:sz w:val="20"/>
          <w:szCs w:val="20"/>
        </w:rPr>
        <w:t xml:space="preserve">, A., &amp; Yule, W. (2006). Factor structure of the Children’s Revised Impact of Event Scale (CRIES) with children exposed to earthquake. </w:t>
      </w:r>
      <w:r>
        <w:rPr>
          <w:i/>
          <w:iCs/>
          <w:sz w:val="20"/>
          <w:szCs w:val="20"/>
        </w:rPr>
        <w:t>Personality and Individual Differences, 40</w:t>
      </w:r>
      <w:r>
        <w:rPr>
          <w:sz w:val="20"/>
          <w:szCs w:val="20"/>
        </w:rPr>
        <w:t>(5), 1027–1037. https://doi.org/10.1016/j.paid.2005.11.002</w:t>
      </w:r>
    </w:p>
    <w:p w14:paraId="6A34870F" w14:textId="77777777" w:rsidR="00E63D5B" w:rsidRDefault="001F059D">
      <w:pPr>
        <w:spacing w:after="80" w:line="240" w:lineRule="auto"/>
        <w:ind w:left="567" w:hanging="567"/>
        <w:jc w:val="left"/>
      </w:pPr>
      <w:proofErr w:type="spellStart"/>
      <w:r>
        <w:rPr>
          <w:sz w:val="20"/>
          <w:szCs w:val="20"/>
        </w:rPr>
        <w:t>Ginieri-Coccossis</w:t>
      </w:r>
      <w:proofErr w:type="spellEnd"/>
      <w:r>
        <w:rPr>
          <w:sz w:val="20"/>
          <w:szCs w:val="20"/>
        </w:rPr>
        <w:t xml:space="preserve">, M., Triantafillou, E., Tomaras, V., Soldatos, C., </w:t>
      </w:r>
      <w:proofErr w:type="spellStart"/>
      <w:r>
        <w:rPr>
          <w:sz w:val="20"/>
          <w:szCs w:val="20"/>
        </w:rPr>
        <w:t>Mavreas</w:t>
      </w:r>
      <w:proofErr w:type="spellEnd"/>
      <w:r>
        <w:rPr>
          <w:sz w:val="20"/>
          <w:szCs w:val="20"/>
        </w:rPr>
        <w:t xml:space="preserve">, V., &amp; Christodoulou, G. (2012). Psychometric properties of WHOQOL-BREF in clinical and health Greek populations: Incorporating new culture-relevant items. </w:t>
      </w:r>
      <w:proofErr w:type="spellStart"/>
      <w:r>
        <w:rPr>
          <w:i/>
          <w:iCs/>
          <w:sz w:val="20"/>
          <w:szCs w:val="20"/>
        </w:rPr>
        <w:t>Psychiatriki</w:t>
      </w:r>
      <w:proofErr w:type="spellEnd"/>
      <w:r>
        <w:rPr>
          <w:i/>
          <w:iCs/>
          <w:sz w:val="20"/>
          <w:szCs w:val="20"/>
        </w:rPr>
        <w:t>, 23</w:t>
      </w:r>
      <w:r>
        <w:rPr>
          <w:sz w:val="20"/>
          <w:szCs w:val="20"/>
        </w:rPr>
        <w:t>(2), 130–142. PMID: 22796911</w:t>
      </w:r>
    </w:p>
    <w:p w14:paraId="7C2E3465" w14:textId="77777777" w:rsidR="00E63D5B" w:rsidRDefault="001F059D">
      <w:pPr>
        <w:spacing w:after="80" w:line="240" w:lineRule="auto"/>
        <w:ind w:left="567" w:hanging="567"/>
        <w:jc w:val="left"/>
      </w:pPr>
      <w:r>
        <w:rPr>
          <w:sz w:val="20"/>
          <w:szCs w:val="20"/>
        </w:rPr>
        <w:t xml:space="preserve">Golding, J. M. (1999). Intimate partner violence </w:t>
      </w:r>
      <w:proofErr w:type="gramStart"/>
      <w:r>
        <w:rPr>
          <w:sz w:val="20"/>
          <w:szCs w:val="20"/>
        </w:rPr>
        <w:t>as</w:t>
      </w:r>
      <w:proofErr w:type="gramEnd"/>
      <w:r>
        <w:rPr>
          <w:sz w:val="20"/>
          <w:szCs w:val="20"/>
        </w:rPr>
        <w:t xml:space="preserve"> a risk factor for mental disorders: A meta-analysis. Journal of Family Violence, 14(2), 99–132.</w:t>
      </w:r>
    </w:p>
    <w:p w14:paraId="139D00C1" w14:textId="77777777" w:rsidR="00E63D5B" w:rsidRDefault="001F059D">
      <w:pPr>
        <w:spacing w:after="80" w:line="240" w:lineRule="auto"/>
        <w:ind w:left="567" w:hanging="567"/>
        <w:jc w:val="left"/>
      </w:pPr>
      <w:r>
        <w:rPr>
          <w:sz w:val="20"/>
          <w:szCs w:val="20"/>
        </w:rPr>
        <w:t xml:space="preserve">Gondolf, E. W., &amp; Fisher, E. R. (1988). </w:t>
      </w:r>
      <w:r>
        <w:rPr>
          <w:i/>
          <w:iCs/>
          <w:sz w:val="20"/>
          <w:szCs w:val="20"/>
        </w:rPr>
        <w:t>Battered women as survivors: An alternative to treating learned helplessness</w:t>
      </w:r>
      <w:r>
        <w:rPr>
          <w:sz w:val="20"/>
          <w:szCs w:val="20"/>
        </w:rPr>
        <w:t>. Lexington Books.</w:t>
      </w:r>
    </w:p>
    <w:p w14:paraId="09329B8C" w14:textId="77777777" w:rsidR="00E63D5B" w:rsidRDefault="001F059D">
      <w:pPr>
        <w:spacing w:after="80" w:line="240" w:lineRule="auto"/>
        <w:ind w:left="567" w:hanging="567"/>
        <w:jc w:val="left"/>
      </w:pPr>
      <w:r>
        <w:rPr>
          <w:sz w:val="20"/>
          <w:szCs w:val="20"/>
        </w:rPr>
        <w:t>Goode, W. J. (1971). Force and violence in the family. Journal of Marriage and the Family, 33(4), 624–636.</w:t>
      </w:r>
    </w:p>
    <w:p w14:paraId="7585FC82" w14:textId="77777777" w:rsidR="00E63D5B" w:rsidRDefault="001F059D">
      <w:pPr>
        <w:spacing w:after="80" w:line="240" w:lineRule="auto"/>
        <w:ind w:left="567" w:hanging="567"/>
        <w:jc w:val="left"/>
      </w:pPr>
      <w:r>
        <w:rPr>
          <w:sz w:val="20"/>
          <w:szCs w:val="20"/>
        </w:rPr>
        <w:lastRenderedPageBreak/>
        <w:t>Goodman, L. A., &amp; Epstein, D. (2008). Listening to battered women: A survivor-centered approach to advocacy, mental health, and justice. American Psychological Association. https://doi.org/10.1037/11651-000</w:t>
      </w:r>
    </w:p>
    <w:p w14:paraId="3034FF57" w14:textId="77777777" w:rsidR="00E63D5B" w:rsidRDefault="001F059D">
      <w:pPr>
        <w:spacing w:after="80" w:line="240" w:lineRule="auto"/>
        <w:ind w:left="567" w:hanging="567"/>
        <w:jc w:val="left"/>
      </w:pPr>
      <w:r>
        <w:rPr>
          <w:sz w:val="20"/>
          <w:szCs w:val="20"/>
        </w:rPr>
        <w:t xml:space="preserve">Goodman, R. (1997). The Strengths and Difficulties Questionnaire: A research note. </w:t>
      </w:r>
      <w:r>
        <w:rPr>
          <w:i/>
          <w:iCs/>
          <w:sz w:val="20"/>
          <w:szCs w:val="20"/>
        </w:rPr>
        <w:t>Journal of Child Psychology and Psychiatry, 38</w:t>
      </w:r>
      <w:r>
        <w:rPr>
          <w:sz w:val="20"/>
          <w:szCs w:val="20"/>
        </w:rPr>
        <w:t>(5), 581–586. https://doi.org/10.1111/j.1469-7610.1997.tb01545.x</w:t>
      </w:r>
    </w:p>
    <w:p w14:paraId="7C3466AC" w14:textId="77777777" w:rsidR="00E63D5B" w:rsidRDefault="001F059D">
      <w:pPr>
        <w:spacing w:after="80" w:line="240" w:lineRule="auto"/>
        <w:ind w:left="567" w:hanging="567"/>
        <w:jc w:val="left"/>
      </w:pPr>
      <w:r>
        <w:rPr>
          <w:sz w:val="20"/>
          <w:szCs w:val="20"/>
        </w:rPr>
        <w:t>Goodman, S. H., &amp; Gotlib, I. H. (1999). Risk for psychopathology in the children of depressed mothers: A developmental model for understanding mechanisms of transmission. Psychological Review, 106(3), 458–490. https://doi.org/10.1037/0033-295X.106.3.458</w:t>
      </w:r>
    </w:p>
    <w:p w14:paraId="0153CBED" w14:textId="77777777" w:rsidR="00E63D5B" w:rsidRDefault="001F059D">
      <w:pPr>
        <w:spacing w:after="80" w:line="240" w:lineRule="auto"/>
        <w:ind w:left="567" w:hanging="567"/>
        <w:jc w:val="left"/>
      </w:pPr>
      <w:r>
        <w:rPr>
          <w:sz w:val="20"/>
          <w:szCs w:val="20"/>
        </w:rPr>
        <w:t xml:space="preserve">Graham-Bermann, S. A., Lynch, S., Banyard, V., DeVoe, E. R., &amp; </w:t>
      </w:r>
      <w:proofErr w:type="spellStart"/>
      <w:r>
        <w:rPr>
          <w:sz w:val="20"/>
          <w:szCs w:val="20"/>
        </w:rPr>
        <w:t>Halabu</w:t>
      </w:r>
      <w:proofErr w:type="spellEnd"/>
      <w:r>
        <w:rPr>
          <w:sz w:val="20"/>
          <w:szCs w:val="20"/>
        </w:rPr>
        <w:t>, H. (2007). Community-based intervention for children exposed to intimate partner violence: An efficacy trial. Journal of Consulting and Clinical Psychology, 75(2), 199–209. https://doi.org/10.1037/0022-006X.75.2.199</w:t>
      </w:r>
    </w:p>
    <w:p w14:paraId="06C2E4E5" w14:textId="77777777" w:rsidR="000956C9" w:rsidRDefault="00F56A84">
      <w:pPr>
        <w:spacing w:after="80" w:line="240" w:lineRule="auto"/>
        <w:ind w:left="567" w:hanging="567"/>
        <w:jc w:val="left"/>
      </w:pPr>
      <w:r>
        <w:rPr>
          <w:sz w:val="20"/>
          <w:szCs w:val="20"/>
        </w:rPr>
        <w:t xml:space="preserve">Grych, J. H., </w:t>
      </w:r>
      <w:proofErr w:type="spellStart"/>
      <w:r>
        <w:rPr>
          <w:sz w:val="20"/>
          <w:szCs w:val="20"/>
        </w:rPr>
        <w:t>Jouriles</w:t>
      </w:r>
      <w:proofErr w:type="spellEnd"/>
      <w:r>
        <w:rPr>
          <w:sz w:val="20"/>
          <w:szCs w:val="20"/>
        </w:rPr>
        <w:t xml:space="preserve">, E. N., Swank, P. R., McDonald, R., &amp; Norwood, W. D. (2000). Patterns of adjustment among children of battered women. </w:t>
      </w:r>
      <w:r>
        <w:rPr>
          <w:i/>
          <w:iCs/>
          <w:sz w:val="20"/>
          <w:szCs w:val="20"/>
        </w:rPr>
        <w:t>Journal of Consulting and Clinical Psychology, 68</w:t>
      </w:r>
      <w:r>
        <w:rPr>
          <w:sz w:val="20"/>
          <w:szCs w:val="20"/>
        </w:rPr>
        <w:t>(1), 84–94. https://doi.org/10.1037/0022-006X.68.1.84</w:t>
      </w:r>
    </w:p>
    <w:p w14:paraId="7DD3D598" w14:textId="77777777" w:rsidR="00E63D5B" w:rsidRDefault="001F059D">
      <w:pPr>
        <w:spacing w:after="80" w:line="240" w:lineRule="auto"/>
        <w:ind w:left="567" w:hanging="567"/>
        <w:jc w:val="left"/>
      </w:pPr>
      <w:r>
        <w:rPr>
          <w:sz w:val="20"/>
          <w:szCs w:val="20"/>
        </w:rPr>
        <w:t xml:space="preserve">Hamby, S., </w:t>
      </w:r>
      <w:proofErr w:type="spellStart"/>
      <w:r>
        <w:rPr>
          <w:sz w:val="20"/>
          <w:szCs w:val="20"/>
        </w:rPr>
        <w:t>Finkelhor</w:t>
      </w:r>
      <w:proofErr w:type="spellEnd"/>
      <w:r>
        <w:rPr>
          <w:sz w:val="20"/>
          <w:szCs w:val="20"/>
        </w:rPr>
        <w:t xml:space="preserve">, D., Turner, H., &amp; Ormrod, R. (2010). The overlap of witnessing partner violence with child maltreatment and other victimizations in a nationally representative survey of youth. </w:t>
      </w:r>
      <w:r>
        <w:rPr>
          <w:i/>
          <w:iCs/>
          <w:sz w:val="20"/>
          <w:szCs w:val="20"/>
        </w:rPr>
        <w:t>Child Abuse &amp; Neglect, 34</w:t>
      </w:r>
      <w:r>
        <w:rPr>
          <w:sz w:val="20"/>
          <w:szCs w:val="20"/>
        </w:rPr>
        <w:t>(10), 734–741. https://doi.org/10.1016/j.chiabu.2010.03.001</w:t>
      </w:r>
    </w:p>
    <w:p w14:paraId="42B61A99" w14:textId="77777777" w:rsidR="00E63D5B" w:rsidRDefault="001F059D">
      <w:pPr>
        <w:spacing w:after="80" w:line="240" w:lineRule="auto"/>
        <w:ind w:left="567" w:hanging="567"/>
        <w:jc w:val="left"/>
      </w:pPr>
      <w:r>
        <w:rPr>
          <w:sz w:val="20"/>
          <w:szCs w:val="20"/>
        </w:rPr>
        <w:t xml:space="preserve">Hardt, J., &amp; Rutter, M. (2004). Validity of adult retrospective reports of adverse childhood experiences: Review of the evidence. </w:t>
      </w:r>
      <w:r>
        <w:rPr>
          <w:i/>
          <w:iCs/>
          <w:sz w:val="20"/>
          <w:szCs w:val="20"/>
        </w:rPr>
        <w:t>Journal of Child Psychology and Psychiatry, 45</w:t>
      </w:r>
      <w:r>
        <w:rPr>
          <w:sz w:val="20"/>
          <w:szCs w:val="20"/>
        </w:rPr>
        <w:t>(2), 260–273. https://doi.org/10.1111/j.1469-7610.2004.00218.x</w:t>
      </w:r>
    </w:p>
    <w:p w14:paraId="5F2730E1" w14:textId="77777777" w:rsidR="00E63D5B" w:rsidRDefault="001F059D">
      <w:pPr>
        <w:spacing w:after="80" w:line="240" w:lineRule="auto"/>
        <w:ind w:left="567" w:hanging="567"/>
        <w:jc w:val="left"/>
      </w:pPr>
      <w:r>
        <w:rPr>
          <w:sz w:val="20"/>
          <w:szCs w:val="20"/>
        </w:rPr>
        <w:t xml:space="preserve">Hayes, A. F. (2018). </w:t>
      </w:r>
      <w:r>
        <w:rPr>
          <w:i/>
          <w:iCs/>
          <w:sz w:val="20"/>
          <w:szCs w:val="20"/>
        </w:rPr>
        <w:t>Introduction to mediation, moderation, and conditional process analysis: A regression-based approach</w:t>
      </w:r>
      <w:r>
        <w:rPr>
          <w:sz w:val="20"/>
          <w:szCs w:val="20"/>
        </w:rPr>
        <w:t xml:space="preserve"> (2nd ed.). Guilford Press.</w:t>
      </w:r>
    </w:p>
    <w:p w14:paraId="7D8B04A5" w14:textId="77777777" w:rsidR="00E63D5B" w:rsidRDefault="001F059D">
      <w:pPr>
        <w:spacing w:after="80" w:line="240" w:lineRule="auto"/>
        <w:ind w:left="567" w:hanging="567"/>
        <w:jc w:val="left"/>
      </w:pPr>
      <w:r>
        <w:rPr>
          <w:sz w:val="20"/>
          <w:szCs w:val="20"/>
        </w:rPr>
        <w:t xml:space="preserve">Haythornthwaite, L. A., </w:t>
      </w:r>
      <w:proofErr w:type="spellStart"/>
      <w:r>
        <w:rPr>
          <w:sz w:val="20"/>
          <w:szCs w:val="20"/>
        </w:rPr>
        <w:t>Kiemle</w:t>
      </w:r>
      <w:proofErr w:type="spellEnd"/>
      <w:r>
        <w:rPr>
          <w:sz w:val="20"/>
          <w:szCs w:val="20"/>
        </w:rPr>
        <w:t xml:space="preserve">, G., Brooks, M., Balfour, R., &amp; Oliver, L. (2026). “I call us heroes or warrior women”: Survivor narratives of posttraumatic growth following intimate partner abuse. </w:t>
      </w:r>
      <w:r>
        <w:rPr>
          <w:i/>
          <w:iCs/>
          <w:sz w:val="20"/>
          <w:szCs w:val="20"/>
        </w:rPr>
        <w:t>Traumatology, 32</w:t>
      </w:r>
      <w:r>
        <w:rPr>
          <w:sz w:val="20"/>
          <w:szCs w:val="20"/>
        </w:rPr>
        <w:t>(1), 124–136. https://doi.org/10.1037/trm0000522</w:t>
      </w:r>
    </w:p>
    <w:p w14:paraId="593E3722" w14:textId="77777777" w:rsidR="00E63D5B" w:rsidRDefault="001F059D">
      <w:pPr>
        <w:spacing w:after="80" w:line="240" w:lineRule="auto"/>
        <w:ind w:left="567" w:hanging="567"/>
        <w:jc w:val="left"/>
      </w:pPr>
      <w:r>
        <w:rPr>
          <w:sz w:val="20"/>
          <w:szCs w:val="20"/>
        </w:rPr>
        <w:t xml:space="preserve">Heise, L. L. (1998). Violence against women: an integrated, ecological framework. </w:t>
      </w:r>
      <w:r>
        <w:rPr>
          <w:i/>
          <w:iCs/>
          <w:sz w:val="20"/>
          <w:szCs w:val="20"/>
        </w:rPr>
        <w:t>Violence against women</w:t>
      </w:r>
      <w:r>
        <w:rPr>
          <w:sz w:val="20"/>
          <w:szCs w:val="20"/>
        </w:rPr>
        <w:t xml:space="preserve">, </w:t>
      </w:r>
      <w:r>
        <w:rPr>
          <w:i/>
          <w:iCs/>
          <w:sz w:val="20"/>
          <w:szCs w:val="20"/>
        </w:rPr>
        <w:t>4</w:t>
      </w:r>
      <w:r>
        <w:rPr>
          <w:sz w:val="20"/>
          <w:szCs w:val="20"/>
        </w:rPr>
        <w:t>(3), 262–290. https://doi.org/10.1177/1077801298004003002</w:t>
      </w:r>
    </w:p>
    <w:p w14:paraId="42D603AB" w14:textId="77777777" w:rsidR="00E63D5B" w:rsidRDefault="001F059D">
      <w:pPr>
        <w:spacing w:after="80" w:line="240" w:lineRule="auto"/>
        <w:ind w:left="567" w:hanging="567"/>
        <w:jc w:val="left"/>
      </w:pPr>
      <w:r>
        <w:rPr>
          <w:sz w:val="20"/>
          <w:szCs w:val="20"/>
        </w:rPr>
        <w:t xml:space="preserve">Heise, L., &amp; Garcia-Moreno, C. (2002). Violence by intimate partners. In E. G. Krug, L. L. Dahlberg, J. A. Mercy, A. B. Zwi, &amp; R. Lozano (Eds.), </w:t>
      </w:r>
      <w:r>
        <w:rPr>
          <w:i/>
          <w:iCs/>
          <w:sz w:val="20"/>
          <w:szCs w:val="20"/>
        </w:rPr>
        <w:t>World Report on Violence and Health</w:t>
      </w:r>
      <w:r>
        <w:rPr>
          <w:sz w:val="20"/>
          <w:szCs w:val="20"/>
        </w:rPr>
        <w:t xml:space="preserve"> (pp. 87–121). World Health Organization. https://www.researchgate.net/publication/313624172_Violence_by_intimate_partners</w:t>
      </w:r>
    </w:p>
    <w:p w14:paraId="27579BAD" w14:textId="77777777" w:rsidR="00E63D5B" w:rsidRDefault="001F059D">
      <w:pPr>
        <w:spacing w:after="80" w:line="240" w:lineRule="auto"/>
        <w:ind w:left="567" w:hanging="567"/>
        <w:jc w:val="left"/>
      </w:pPr>
      <w:r>
        <w:rPr>
          <w:sz w:val="20"/>
          <w:szCs w:val="20"/>
        </w:rPr>
        <w:t xml:space="preserve">Herman, J. L. (1992). </w:t>
      </w:r>
      <w:r>
        <w:rPr>
          <w:i/>
          <w:iCs/>
          <w:sz w:val="20"/>
          <w:szCs w:val="20"/>
        </w:rPr>
        <w:t>Trauma and recovery: The aftermath of violence—From domestic abuse to political terror</w:t>
      </w:r>
      <w:r>
        <w:rPr>
          <w:sz w:val="20"/>
          <w:szCs w:val="20"/>
        </w:rPr>
        <w:t>. Basic Books.</w:t>
      </w:r>
    </w:p>
    <w:p w14:paraId="66FC0C8B" w14:textId="77777777" w:rsidR="00E63D5B" w:rsidRDefault="001F059D">
      <w:pPr>
        <w:spacing w:after="80" w:line="240" w:lineRule="auto"/>
        <w:ind w:left="567" w:hanging="567"/>
        <w:jc w:val="left"/>
      </w:pPr>
      <w:r>
        <w:rPr>
          <w:sz w:val="20"/>
          <w:szCs w:val="20"/>
        </w:rPr>
        <w:t xml:space="preserve">Herman, J. L. (2015). </w:t>
      </w:r>
      <w:r>
        <w:rPr>
          <w:i/>
          <w:iCs/>
          <w:sz w:val="20"/>
          <w:szCs w:val="20"/>
        </w:rPr>
        <w:t>Trauma and recovery: The aftermath of violence—from domestic abuse to political terror</w:t>
      </w:r>
      <w:r>
        <w:rPr>
          <w:sz w:val="20"/>
          <w:szCs w:val="20"/>
        </w:rPr>
        <w:t>. Basic Books.</w:t>
      </w:r>
    </w:p>
    <w:p w14:paraId="6E7A2262" w14:textId="77777777" w:rsidR="00E63D5B" w:rsidRDefault="001F059D">
      <w:pPr>
        <w:spacing w:after="80" w:line="240" w:lineRule="auto"/>
        <w:ind w:left="567" w:hanging="567"/>
        <w:jc w:val="left"/>
      </w:pPr>
      <w:r>
        <w:rPr>
          <w:sz w:val="20"/>
          <w:szCs w:val="20"/>
        </w:rPr>
        <w:t>Herman, J. L. (2023). Truth and repair: How trauma survivors envision justice. Basic Books.</w:t>
      </w:r>
    </w:p>
    <w:p w14:paraId="5E860D66" w14:textId="77777777" w:rsidR="00E63D5B" w:rsidRDefault="001F059D">
      <w:pPr>
        <w:spacing w:after="80" w:line="240" w:lineRule="auto"/>
        <w:ind w:left="567" w:hanging="567"/>
        <w:jc w:val="left"/>
      </w:pPr>
      <w:r>
        <w:rPr>
          <w:sz w:val="20"/>
          <w:szCs w:val="20"/>
        </w:rPr>
        <w:t xml:space="preserve">Herrenkohl, T. I., Mason, W. A., Kosterman, R., Lengua, L. J., Hawkins, J. D., &amp; Abbott, R. D. (2004). </w:t>
      </w:r>
      <w:r>
        <w:rPr>
          <w:i/>
          <w:iCs/>
          <w:sz w:val="20"/>
          <w:szCs w:val="20"/>
        </w:rPr>
        <w:t>Pathways from physical childhood abuse to partner violence in young adulthood</w:t>
      </w:r>
      <w:r>
        <w:rPr>
          <w:sz w:val="20"/>
          <w:szCs w:val="20"/>
        </w:rPr>
        <w:t>. Violence and Victims, 19(2), 123–136. https://doi.org/10.1891/vivi.19.2.123.64099</w:t>
      </w:r>
    </w:p>
    <w:p w14:paraId="57BCEF60" w14:textId="77777777" w:rsidR="00E63D5B" w:rsidRDefault="001F059D">
      <w:pPr>
        <w:spacing w:after="80" w:line="240" w:lineRule="auto"/>
        <w:ind w:left="567" w:hanging="567"/>
        <w:jc w:val="left"/>
      </w:pPr>
      <w:r>
        <w:rPr>
          <w:sz w:val="20"/>
          <w:szCs w:val="20"/>
        </w:rPr>
        <w:t xml:space="preserve">Hesse, E., &amp; Main, M. (2006). Frightened, threatening, and dissociative parental behavior in low-risk samples: description, discussion, and interpretations. </w:t>
      </w:r>
      <w:r>
        <w:rPr>
          <w:i/>
          <w:iCs/>
          <w:sz w:val="20"/>
          <w:szCs w:val="20"/>
        </w:rPr>
        <w:t>Development and psychopathology</w:t>
      </w:r>
      <w:r>
        <w:rPr>
          <w:sz w:val="20"/>
          <w:szCs w:val="20"/>
        </w:rPr>
        <w:t xml:space="preserve">, </w:t>
      </w:r>
      <w:r>
        <w:rPr>
          <w:i/>
          <w:iCs/>
          <w:sz w:val="20"/>
          <w:szCs w:val="20"/>
        </w:rPr>
        <w:t>18</w:t>
      </w:r>
      <w:r>
        <w:rPr>
          <w:sz w:val="20"/>
          <w:szCs w:val="20"/>
        </w:rPr>
        <w:t>(2), 309–343. https://doi.org/10.1017/S0954579406060172</w:t>
      </w:r>
    </w:p>
    <w:p w14:paraId="0638103E" w14:textId="77777777" w:rsidR="00E63D5B" w:rsidRDefault="001F059D">
      <w:pPr>
        <w:spacing w:after="80" w:line="240" w:lineRule="auto"/>
        <w:ind w:left="567" w:hanging="567"/>
        <w:jc w:val="left"/>
      </w:pPr>
      <w:r>
        <w:rPr>
          <w:sz w:val="20"/>
          <w:szCs w:val="20"/>
        </w:rPr>
        <w:t xml:space="preserve">Hill, A., Pallitto, C., McCleary-Sills, J., &amp; García-Moreno, C. (2016). </w:t>
      </w:r>
      <w:r>
        <w:rPr>
          <w:i/>
          <w:iCs/>
          <w:sz w:val="20"/>
          <w:szCs w:val="20"/>
        </w:rPr>
        <w:t>A Systematic Review and Meta-analysis of Intimate Partner Violence During Pregnancy and Selected Birth Outcomes</w:t>
      </w:r>
      <w:r>
        <w:rPr>
          <w:sz w:val="20"/>
          <w:szCs w:val="20"/>
        </w:rPr>
        <w:t>. International Journal of Gynecology &amp; Obstetrics, 133(3), 269–276 https://doi.org/10.1016/j.ijgo.2015.10.023</w:t>
      </w:r>
    </w:p>
    <w:p w14:paraId="2FD3D040" w14:textId="77777777" w:rsidR="00E63D5B" w:rsidRDefault="001F059D">
      <w:pPr>
        <w:spacing w:after="80" w:line="240" w:lineRule="auto"/>
        <w:ind w:left="567" w:hanging="567"/>
        <w:jc w:val="left"/>
      </w:pPr>
      <w:proofErr w:type="spellStart"/>
      <w:r>
        <w:rPr>
          <w:sz w:val="20"/>
          <w:szCs w:val="20"/>
        </w:rPr>
        <w:t>Hisasue</w:t>
      </w:r>
      <w:proofErr w:type="spellEnd"/>
      <w:r>
        <w:rPr>
          <w:sz w:val="20"/>
          <w:szCs w:val="20"/>
        </w:rPr>
        <w:t xml:space="preserve">, T., Kruse, F. M., Raitanen, J., Paavilainen, E., &amp; Rissanen, P. (2020). Quality of life, psychological distress and violence among women in close relationships: A population-based study in Finland. </w:t>
      </w:r>
      <w:r>
        <w:rPr>
          <w:i/>
          <w:iCs/>
          <w:sz w:val="20"/>
          <w:szCs w:val="20"/>
        </w:rPr>
        <w:t>BMC Women's Health, 20</w:t>
      </w:r>
      <w:r>
        <w:rPr>
          <w:sz w:val="20"/>
          <w:szCs w:val="20"/>
        </w:rPr>
        <w:t>(1), Article 85. https://doi.org/10.1186/s12905-020-00950-6</w:t>
      </w:r>
    </w:p>
    <w:p w14:paraId="6BE8E3CA" w14:textId="77777777" w:rsidR="00E63D5B" w:rsidRDefault="001F059D">
      <w:pPr>
        <w:spacing w:after="80" w:line="240" w:lineRule="auto"/>
        <w:ind w:left="567" w:hanging="567"/>
        <w:jc w:val="left"/>
      </w:pPr>
      <w:proofErr w:type="spellStart"/>
      <w:r>
        <w:rPr>
          <w:sz w:val="20"/>
          <w:szCs w:val="20"/>
        </w:rPr>
        <w:t>Hobfoll</w:t>
      </w:r>
      <w:proofErr w:type="spellEnd"/>
      <w:r>
        <w:rPr>
          <w:sz w:val="20"/>
          <w:szCs w:val="20"/>
        </w:rPr>
        <w:t xml:space="preserve">, S. E. (1989). Conservation of resources: A new attempt at conceptualizing stress. </w:t>
      </w:r>
      <w:r>
        <w:rPr>
          <w:i/>
          <w:iCs/>
          <w:sz w:val="20"/>
          <w:szCs w:val="20"/>
        </w:rPr>
        <w:t>American Psychologist, 44</w:t>
      </w:r>
      <w:r>
        <w:rPr>
          <w:sz w:val="20"/>
          <w:szCs w:val="20"/>
        </w:rPr>
        <w:t>(3), 513–524. https://doi.org/10.1037/0003-066X.44.3.513</w:t>
      </w:r>
    </w:p>
    <w:p w14:paraId="6077B398" w14:textId="77777777" w:rsidR="00E63D5B" w:rsidRDefault="001F059D">
      <w:pPr>
        <w:spacing w:after="80" w:line="240" w:lineRule="auto"/>
        <w:ind w:left="567" w:hanging="567"/>
        <w:jc w:val="left"/>
      </w:pPr>
      <w:r>
        <w:rPr>
          <w:sz w:val="20"/>
          <w:szCs w:val="20"/>
        </w:rPr>
        <w:t xml:space="preserve">Hochschild, A. R. (1989). </w:t>
      </w:r>
      <w:r>
        <w:rPr>
          <w:i/>
          <w:iCs/>
          <w:sz w:val="20"/>
          <w:szCs w:val="20"/>
        </w:rPr>
        <w:t>The second shift: Working families and the revolution at home</w:t>
      </w:r>
      <w:r>
        <w:rPr>
          <w:sz w:val="20"/>
          <w:szCs w:val="20"/>
        </w:rPr>
        <w:t>. Viking.</w:t>
      </w:r>
    </w:p>
    <w:p w14:paraId="6B31A7C1" w14:textId="77777777" w:rsidR="00E63D5B" w:rsidRDefault="001F059D">
      <w:pPr>
        <w:spacing w:after="80" w:line="240" w:lineRule="auto"/>
        <w:ind w:left="567" w:hanging="567"/>
        <w:jc w:val="left"/>
      </w:pPr>
      <w:r>
        <w:rPr>
          <w:sz w:val="20"/>
          <w:szCs w:val="20"/>
        </w:rPr>
        <w:lastRenderedPageBreak/>
        <w:t>Holt, S., Buckley, H., &amp; Whelan, S. (2008). The impact of exposure to domestic violence on children and young people: A review of the literature. Child Abuse &amp; Neglect, 32(8), 797–810. https://doi.org/10.1016/j.chiabu.2008.02.004</w:t>
      </w:r>
    </w:p>
    <w:p w14:paraId="6AFD99A3" w14:textId="77777777" w:rsidR="00E63D5B" w:rsidRDefault="001F059D">
      <w:pPr>
        <w:spacing w:after="80" w:line="240" w:lineRule="auto"/>
        <w:ind w:left="567" w:hanging="567"/>
        <w:jc w:val="left"/>
      </w:pPr>
      <w:r>
        <w:rPr>
          <w:sz w:val="20"/>
          <w:szCs w:val="20"/>
        </w:rPr>
        <w:t xml:space="preserve">Howarth, E., Moore, T. H. M., Welton, N. J., Lewis, N., Stanley, N., MacMillan, H., Shaw, A., Hester, M., Bryden, P., &amp; Feder, G. (2016). </w:t>
      </w:r>
      <w:proofErr w:type="spellStart"/>
      <w:r>
        <w:rPr>
          <w:i/>
          <w:iCs/>
          <w:sz w:val="20"/>
          <w:szCs w:val="20"/>
        </w:rPr>
        <w:t>IMPRoving</w:t>
      </w:r>
      <w:proofErr w:type="spellEnd"/>
      <w:r>
        <w:rPr>
          <w:i/>
          <w:iCs/>
          <w:sz w:val="20"/>
          <w:szCs w:val="20"/>
        </w:rPr>
        <w:t xml:space="preserve"> Outcomes for children exposed to domestic </w:t>
      </w:r>
      <w:proofErr w:type="spellStart"/>
      <w:r>
        <w:rPr>
          <w:i/>
          <w:iCs/>
          <w:sz w:val="20"/>
          <w:szCs w:val="20"/>
        </w:rPr>
        <w:t>ViolencE</w:t>
      </w:r>
      <w:proofErr w:type="spellEnd"/>
      <w:r>
        <w:rPr>
          <w:i/>
          <w:iCs/>
          <w:sz w:val="20"/>
          <w:szCs w:val="20"/>
        </w:rPr>
        <w:t xml:space="preserve"> (IMPROVE): An evidence synthesis</w:t>
      </w:r>
      <w:r>
        <w:rPr>
          <w:sz w:val="20"/>
          <w:szCs w:val="20"/>
        </w:rPr>
        <w:t>. NIHR Journals Library (Public Health Research, No. 4.10). https://www.ncbi.nlm.nih.gov/books/NBK401381/</w:t>
      </w:r>
    </w:p>
    <w:p w14:paraId="1DFBEC3E" w14:textId="77777777" w:rsidR="00E63D5B" w:rsidRDefault="001F059D">
      <w:pPr>
        <w:spacing w:after="80" w:line="240" w:lineRule="auto"/>
        <w:ind w:left="567" w:hanging="567"/>
        <w:jc w:val="left"/>
      </w:pPr>
      <w:r>
        <w:rPr>
          <w:sz w:val="20"/>
          <w:szCs w:val="20"/>
        </w:rPr>
        <w:t xml:space="preserve">Humphreys, C., &amp; Campo, M. (2017). </w:t>
      </w:r>
      <w:r>
        <w:rPr>
          <w:i/>
          <w:iCs/>
          <w:sz w:val="20"/>
          <w:szCs w:val="20"/>
        </w:rPr>
        <w:t>Fathers who use violence: Options for safe practice where there is ongoing contact with children</w:t>
      </w:r>
      <w:r>
        <w:rPr>
          <w:sz w:val="20"/>
          <w:szCs w:val="20"/>
        </w:rPr>
        <w:t xml:space="preserve"> (CFCA Paper No. 43). Australian Institute of Family Studies.</w:t>
      </w:r>
    </w:p>
    <w:p w14:paraId="64A2BAE5" w14:textId="77777777" w:rsidR="00E63D5B" w:rsidRDefault="001F059D">
      <w:pPr>
        <w:spacing w:after="80" w:line="240" w:lineRule="auto"/>
        <w:ind w:left="567" w:hanging="567"/>
        <w:jc w:val="left"/>
      </w:pPr>
      <w:r>
        <w:rPr>
          <w:sz w:val="20"/>
          <w:szCs w:val="20"/>
        </w:rPr>
        <w:t>Hyde-Nolan, M. E., &amp; Juliao, T. (2012). Theoretical basis for family violence. In R. S. Fife &amp; S. B. Schrager (Eds.), Family violence: What health care providers need to know (pp. 5–16). Jones &amp; Bartlett Learning. http://samples.jbpub.com/9780763780340/80340_ch02_final.pdf</w:t>
      </w:r>
    </w:p>
    <w:p w14:paraId="51E8E21F" w14:textId="77777777" w:rsidR="00E63D5B" w:rsidRDefault="001F059D">
      <w:pPr>
        <w:spacing w:after="80" w:line="240" w:lineRule="auto"/>
        <w:ind w:left="567" w:hanging="567"/>
        <w:jc w:val="left"/>
      </w:pPr>
      <w:proofErr w:type="spellStart"/>
      <w:r>
        <w:rPr>
          <w:sz w:val="20"/>
          <w:szCs w:val="20"/>
        </w:rPr>
        <w:t>Hyphantis</w:t>
      </w:r>
      <w:proofErr w:type="spellEnd"/>
      <w:r>
        <w:rPr>
          <w:sz w:val="20"/>
          <w:szCs w:val="20"/>
        </w:rPr>
        <w:t xml:space="preserve">, T., Kotsis, K., Voulgari, P. V., Tsifetaki, N., Creed, F., &amp; Drosos, A. A. (2011). Diagnostic accuracy, internal consistency, and convergent validity of the Greek version of the patient health questionnaire 9 in diagnosing depression in rheumatologic disorders. </w:t>
      </w:r>
      <w:r>
        <w:rPr>
          <w:i/>
          <w:iCs/>
          <w:sz w:val="20"/>
          <w:szCs w:val="20"/>
        </w:rPr>
        <w:t>Arthritis care &amp; research</w:t>
      </w:r>
      <w:r>
        <w:rPr>
          <w:sz w:val="20"/>
          <w:szCs w:val="20"/>
        </w:rPr>
        <w:t xml:space="preserve">, </w:t>
      </w:r>
      <w:r>
        <w:rPr>
          <w:i/>
          <w:iCs/>
          <w:sz w:val="20"/>
          <w:szCs w:val="20"/>
        </w:rPr>
        <w:t>63</w:t>
      </w:r>
      <w:r>
        <w:rPr>
          <w:sz w:val="20"/>
          <w:szCs w:val="20"/>
        </w:rPr>
        <w:t>(9), 1313–1321. https://doi.org/10.1002/acr.20505</w:t>
      </w:r>
    </w:p>
    <w:p w14:paraId="6E378D8F" w14:textId="77777777" w:rsidR="00E63D5B" w:rsidRDefault="001F059D">
      <w:pPr>
        <w:spacing w:after="80" w:line="240" w:lineRule="auto"/>
        <w:ind w:left="567" w:hanging="567"/>
        <w:jc w:val="left"/>
      </w:pPr>
      <w:r>
        <w:rPr>
          <w:sz w:val="20"/>
          <w:szCs w:val="20"/>
        </w:rPr>
        <w:t>Imai, K., Keele, L., &amp; Tingley, D. (2010). A general approach to causal mediation analysis. Psychological Methods, 15(4), 309–334. https://doi.org/10.1037/a0020761</w:t>
      </w:r>
    </w:p>
    <w:p w14:paraId="643EA008" w14:textId="77777777" w:rsidR="000956C9" w:rsidRDefault="00F56A84">
      <w:pPr>
        <w:spacing w:after="80" w:line="240" w:lineRule="auto"/>
        <w:ind w:left="567" w:hanging="567"/>
        <w:jc w:val="left"/>
      </w:pPr>
      <w:r>
        <w:rPr>
          <w:sz w:val="20"/>
          <w:szCs w:val="20"/>
        </w:rPr>
        <w:t xml:space="preserve">International </w:t>
      </w:r>
      <w:proofErr w:type="spellStart"/>
      <w:r>
        <w:rPr>
          <w:sz w:val="20"/>
          <w:szCs w:val="20"/>
        </w:rPr>
        <w:t>Labour</w:t>
      </w:r>
      <w:proofErr w:type="spellEnd"/>
      <w:r>
        <w:rPr>
          <w:sz w:val="20"/>
          <w:szCs w:val="20"/>
        </w:rPr>
        <w:t xml:space="preserve"> Organization [ILO]. (2019). </w:t>
      </w:r>
      <w:r>
        <w:rPr>
          <w:i/>
          <w:iCs/>
          <w:sz w:val="20"/>
          <w:szCs w:val="20"/>
        </w:rPr>
        <w:t>Violence and Harassment Convention, 2019 (No. 190)</w:t>
      </w:r>
      <w:r>
        <w:rPr>
          <w:sz w:val="20"/>
          <w:szCs w:val="20"/>
        </w:rPr>
        <w:t xml:space="preserve">. Adopted at the 108th Session of the International </w:t>
      </w:r>
      <w:proofErr w:type="spellStart"/>
      <w:r>
        <w:rPr>
          <w:sz w:val="20"/>
          <w:szCs w:val="20"/>
        </w:rPr>
        <w:t>Labour</w:t>
      </w:r>
      <w:proofErr w:type="spellEnd"/>
      <w:r>
        <w:rPr>
          <w:sz w:val="20"/>
          <w:szCs w:val="20"/>
        </w:rPr>
        <w:t xml:space="preserve"> Conference, Geneva, 21 June 2019. ILO.</w:t>
      </w:r>
    </w:p>
    <w:p w14:paraId="518E4120" w14:textId="77777777" w:rsidR="00E63D5B" w:rsidRDefault="001F059D">
      <w:pPr>
        <w:spacing w:after="80" w:line="240" w:lineRule="auto"/>
        <w:ind w:left="567" w:hanging="567"/>
        <w:jc w:val="left"/>
      </w:pPr>
      <w:r>
        <w:rPr>
          <w:sz w:val="20"/>
          <w:szCs w:val="20"/>
        </w:rPr>
        <w:t xml:space="preserve">Isobel, S., Goodyear, M., Furness, T., &amp; Foster, K. (2019). Preventing intergenerational trauma transmission: A critical interpretive synthesis. </w:t>
      </w:r>
      <w:r>
        <w:rPr>
          <w:i/>
          <w:iCs/>
          <w:sz w:val="20"/>
          <w:szCs w:val="20"/>
        </w:rPr>
        <w:t>Journal of Clinical Nursing, 28</w:t>
      </w:r>
      <w:r>
        <w:rPr>
          <w:sz w:val="20"/>
          <w:szCs w:val="20"/>
        </w:rPr>
        <w:t>(7–8), 1100–1113. https://doi.org/10.1111/jocn.14735</w:t>
      </w:r>
    </w:p>
    <w:p w14:paraId="596549E1" w14:textId="77777777" w:rsidR="00E63D5B" w:rsidRDefault="001F059D">
      <w:pPr>
        <w:spacing w:after="80" w:line="240" w:lineRule="auto"/>
        <w:ind w:left="567" w:hanging="567"/>
        <w:jc w:val="left"/>
      </w:pPr>
      <w:r>
        <w:rPr>
          <w:sz w:val="20"/>
          <w:szCs w:val="20"/>
        </w:rPr>
        <w:t xml:space="preserve">Iverson, K. M., King, M. W., Gerber, M. R., </w:t>
      </w:r>
      <w:proofErr w:type="spellStart"/>
      <w:r>
        <w:rPr>
          <w:sz w:val="20"/>
          <w:szCs w:val="20"/>
        </w:rPr>
        <w:t>Resick</w:t>
      </w:r>
      <w:proofErr w:type="spellEnd"/>
      <w:r>
        <w:rPr>
          <w:sz w:val="20"/>
          <w:szCs w:val="20"/>
        </w:rPr>
        <w:t xml:space="preserve">, P. A., Kimerling, R., Street, A. E., &amp; Vogt, D. (2015). Accuracy of an intimate partner violence screening tool for female VHA patients: a replication and extension. </w:t>
      </w:r>
      <w:r>
        <w:rPr>
          <w:i/>
          <w:iCs/>
          <w:sz w:val="20"/>
          <w:szCs w:val="20"/>
        </w:rPr>
        <w:t>Journal of traumatic stress</w:t>
      </w:r>
      <w:r>
        <w:rPr>
          <w:sz w:val="20"/>
          <w:szCs w:val="20"/>
        </w:rPr>
        <w:t xml:space="preserve">, </w:t>
      </w:r>
      <w:r>
        <w:rPr>
          <w:i/>
          <w:iCs/>
          <w:sz w:val="20"/>
          <w:szCs w:val="20"/>
        </w:rPr>
        <w:t>28</w:t>
      </w:r>
      <w:r>
        <w:rPr>
          <w:sz w:val="20"/>
          <w:szCs w:val="20"/>
        </w:rPr>
        <w:t>(1), 79–82. https://doi.org/10.1002/jts.21985</w:t>
      </w:r>
    </w:p>
    <w:p w14:paraId="1DD0341A" w14:textId="77777777" w:rsidR="00E63D5B" w:rsidRDefault="001F059D">
      <w:pPr>
        <w:spacing w:after="80" w:line="240" w:lineRule="auto"/>
        <w:ind w:left="567" w:hanging="567"/>
        <w:jc w:val="left"/>
      </w:pPr>
      <w:r>
        <w:rPr>
          <w:sz w:val="20"/>
          <w:szCs w:val="20"/>
        </w:rPr>
        <w:t xml:space="preserve">Jaffe, P. G., Crooks, C. V., &amp; Poisson, S. E. (2003). Common misconceptions in addressing domestic violence in child custody disputes. </w:t>
      </w:r>
      <w:r>
        <w:rPr>
          <w:i/>
          <w:iCs/>
          <w:sz w:val="20"/>
          <w:szCs w:val="20"/>
        </w:rPr>
        <w:t>Juvenile and Family Court Journal, 54</w:t>
      </w:r>
      <w:r>
        <w:rPr>
          <w:sz w:val="20"/>
          <w:szCs w:val="20"/>
        </w:rPr>
        <w:t>(4), 57–67. https://doi.org/10.1111/j.1755-6988.2003.tb00086.x</w:t>
      </w:r>
    </w:p>
    <w:p w14:paraId="576B8A7B" w14:textId="77777777" w:rsidR="00E63D5B" w:rsidRDefault="001F059D">
      <w:pPr>
        <w:spacing w:after="80" w:line="240" w:lineRule="auto"/>
        <w:ind w:left="567" w:hanging="567"/>
        <w:jc w:val="left"/>
      </w:pPr>
      <w:r>
        <w:rPr>
          <w:sz w:val="20"/>
          <w:szCs w:val="20"/>
        </w:rPr>
        <w:t>Johnson, L., Chen, Y., Stylianou, A., &amp; Arnold, A. (2022). Examining the impact of economic abuse on survivors of intimate partner violence: a scoping review. BMC public health, 22(1), 1014. https://doi.org/10.1186/s12889-022-13297-4</w:t>
      </w:r>
    </w:p>
    <w:p w14:paraId="53AC83FF" w14:textId="77777777" w:rsidR="00E63D5B" w:rsidRDefault="001F059D">
      <w:pPr>
        <w:spacing w:after="80" w:line="240" w:lineRule="auto"/>
        <w:ind w:left="567" w:hanging="567"/>
        <w:jc w:val="left"/>
      </w:pPr>
      <w:r>
        <w:rPr>
          <w:sz w:val="20"/>
          <w:szCs w:val="20"/>
        </w:rPr>
        <w:t>Jongenelen, I., Pinto, T. M., Costa, R., Pasion, R., Morais, A., Henriques, S., &amp; Lamela, D. (2023). The influence of maternal reflective functioning and parenting behavior on infant development in the context of perinatal intimate partner violence: A study protocol. BMC Psychology, 11, Article 166. https://doi.org/10.1186/s40359-023-01191-6</w:t>
      </w:r>
    </w:p>
    <w:p w14:paraId="1C50BC62" w14:textId="77777777" w:rsidR="00E63D5B" w:rsidRDefault="001F059D">
      <w:pPr>
        <w:spacing w:after="80" w:line="240" w:lineRule="auto"/>
        <w:ind w:left="567" w:hanging="567"/>
        <w:jc w:val="left"/>
      </w:pPr>
      <w:r>
        <w:rPr>
          <w:sz w:val="20"/>
          <w:szCs w:val="20"/>
        </w:rPr>
        <w:t xml:space="preserve">Joseph, S., &amp; Linley, P. A. (2005). </w:t>
      </w:r>
      <w:r>
        <w:rPr>
          <w:i/>
          <w:iCs/>
          <w:sz w:val="20"/>
          <w:szCs w:val="20"/>
        </w:rPr>
        <w:t>Positive Adjustment to Threatening Events: An Organismic Valuing Theory of Growth Through Adversity.</w:t>
      </w:r>
      <w:r>
        <w:rPr>
          <w:sz w:val="20"/>
          <w:szCs w:val="20"/>
        </w:rPr>
        <w:t xml:space="preserve"> Review of General Psychology, 9(3), 262–280. https://doi.org/10.1037/1089-2680.9.3.262</w:t>
      </w:r>
    </w:p>
    <w:p w14:paraId="6057C0E9" w14:textId="77777777" w:rsidR="00E63D5B" w:rsidRDefault="001F059D">
      <w:pPr>
        <w:spacing w:after="80" w:line="240" w:lineRule="auto"/>
        <w:ind w:left="567" w:hanging="567"/>
        <w:jc w:val="left"/>
      </w:pPr>
      <w:proofErr w:type="spellStart"/>
      <w:r>
        <w:rPr>
          <w:sz w:val="20"/>
          <w:szCs w:val="20"/>
        </w:rPr>
        <w:t>Jozefiaková</w:t>
      </w:r>
      <w:proofErr w:type="spellEnd"/>
      <w:r>
        <w:rPr>
          <w:sz w:val="20"/>
          <w:szCs w:val="20"/>
        </w:rPr>
        <w:t xml:space="preserve"> B, </w:t>
      </w:r>
      <w:proofErr w:type="spellStart"/>
      <w:r>
        <w:rPr>
          <w:sz w:val="20"/>
          <w:szCs w:val="20"/>
        </w:rPr>
        <w:t>Kaščáková</w:t>
      </w:r>
      <w:proofErr w:type="spellEnd"/>
      <w:r>
        <w:rPr>
          <w:sz w:val="20"/>
          <w:szCs w:val="20"/>
        </w:rPr>
        <w:t xml:space="preserve"> N, </w:t>
      </w:r>
      <w:proofErr w:type="spellStart"/>
      <w:r>
        <w:rPr>
          <w:sz w:val="20"/>
          <w:szCs w:val="20"/>
        </w:rPr>
        <w:t>Adamkovič</w:t>
      </w:r>
      <w:proofErr w:type="spellEnd"/>
      <w:r>
        <w:rPr>
          <w:sz w:val="20"/>
          <w:szCs w:val="20"/>
        </w:rPr>
        <w:t xml:space="preserve">﻿﻿﻿ M, </w:t>
      </w:r>
      <w:proofErr w:type="spellStart"/>
      <w:r>
        <w:rPr>
          <w:sz w:val="20"/>
          <w:szCs w:val="20"/>
        </w:rPr>
        <w:t>Hašto</w:t>
      </w:r>
      <w:proofErr w:type="spellEnd"/>
      <w:r>
        <w:rPr>
          <w:sz w:val="20"/>
          <w:szCs w:val="20"/>
        </w:rPr>
        <w:t xml:space="preserve"> J and Tavel P (2022) Posttraumatic Growth and Its Measurement: A Closer Look at the PTGI’s Psychometric Properties and Structure. </w:t>
      </w:r>
      <w:r>
        <w:rPr>
          <w:i/>
          <w:iCs/>
          <w:sz w:val="20"/>
          <w:szCs w:val="20"/>
        </w:rPr>
        <w:t>Front. Psychol</w:t>
      </w:r>
      <w:r>
        <w:rPr>
          <w:sz w:val="20"/>
          <w:szCs w:val="20"/>
        </w:rPr>
        <w:t xml:space="preserve">. 13:801812. </w:t>
      </w:r>
      <w:proofErr w:type="spellStart"/>
      <w:r>
        <w:rPr>
          <w:sz w:val="20"/>
          <w:szCs w:val="20"/>
        </w:rPr>
        <w:t>doi</w:t>
      </w:r>
      <w:proofErr w:type="spellEnd"/>
      <w:r>
        <w:rPr>
          <w:sz w:val="20"/>
          <w:szCs w:val="20"/>
        </w:rPr>
        <w:t>: 10.3389/fpsyg.2022.801812</w:t>
      </w:r>
    </w:p>
    <w:p w14:paraId="21908529" w14:textId="77777777" w:rsidR="00E63D5B" w:rsidRDefault="001F059D">
      <w:pPr>
        <w:spacing w:after="80" w:line="240" w:lineRule="auto"/>
        <w:ind w:left="567" w:hanging="567"/>
        <w:jc w:val="left"/>
      </w:pPr>
      <w:r>
        <w:rPr>
          <w:sz w:val="20"/>
          <w:szCs w:val="20"/>
        </w:rPr>
        <w:t xml:space="preserve">Kalmuss, D. (1984). The intergenerational transmission of marital aggression. </w:t>
      </w:r>
      <w:r>
        <w:rPr>
          <w:i/>
          <w:iCs/>
          <w:sz w:val="20"/>
          <w:szCs w:val="20"/>
        </w:rPr>
        <w:t>Journal of Marriage and the Family, 46</w:t>
      </w:r>
      <w:r>
        <w:rPr>
          <w:sz w:val="20"/>
          <w:szCs w:val="20"/>
        </w:rPr>
        <w:t>(1), 11–19. https://doi.org/10.2307/351858</w:t>
      </w:r>
    </w:p>
    <w:p w14:paraId="4051398E" w14:textId="77777777" w:rsidR="00E63D5B" w:rsidRDefault="001F059D">
      <w:pPr>
        <w:spacing w:after="80" w:line="240" w:lineRule="auto"/>
        <w:ind w:left="567" w:hanging="567"/>
        <w:jc w:val="left"/>
      </w:pPr>
      <w:proofErr w:type="spellStart"/>
      <w:r>
        <w:rPr>
          <w:sz w:val="20"/>
          <w:szCs w:val="20"/>
        </w:rPr>
        <w:t>Karatzias</w:t>
      </w:r>
      <w:proofErr w:type="spellEnd"/>
      <w:r>
        <w:rPr>
          <w:sz w:val="20"/>
          <w:szCs w:val="20"/>
        </w:rPr>
        <w:t xml:space="preserve">, T., Murphy, P., </w:t>
      </w:r>
      <w:proofErr w:type="spellStart"/>
      <w:r>
        <w:rPr>
          <w:sz w:val="20"/>
          <w:szCs w:val="20"/>
        </w:rPr>
        <w:t>Cloitre</w:t>
      </w:r>
      <w:proofErr w:type="spellEnd"/>
      <w:r>
        <w:rPr>
          <w:sz w:val="20"/>
          <w:szCs w:val="20"/>
        </w:rPr>
        <w:t xml:space="preserve">, M., Bisson, J., Roberts, N., Shevlin, M., … Hutton, P. (2019). Psychological interventions for ICD-11 complex PTSD symptoms: systematic review and meta-analysis. </w:t>
      </w:r>
      <w:r>
        <w:rPr>
          <w:i/>
          <w:iCs/>
          <w:sz w:val="20"/>
          <w:szCs w:val="20"/>
        </w:rPr>
        <w:t>Psychological Medicine</w:t>
      </w:r>
      <w:r>
        <w:rPr>
          <w:sz w:val="20"/>
          <w:szCs w:val="20"/>
        </w:rPr>
        <w:t xml:space="preserve">, </w:t>
      </w:r>
      <w:r>
        <w:rPr>
          <w:i/>
          <w:iCs/>
          <w:sz w:val="20"/>
          <w:szCs w:val="20"/>
        </w:rPr>
        <w:t>49</w:t>
      </w:r>
      <w:r>
        <w:rPr>
          <w:sz w:val="20"/>
          <w:szCs w:val="20"/>
        </w:rPr>
        <w:t>(11), 1761–1775. doi:10.1017/S0033291719000436</w:t>
      </w:r>
    </w:p>
    <w:p w14:paraId="0719D741" w14:textId="77777777" w:rsidR="00E63D5B" w:rsidRDefault="001F059D">
      <w:pPr>
        <w:spacing w:after="80" w:line="240" w:lineRule="auto"/>
        <w:ind w:left="567" w:hanging="567"/>
        <w:jc w:val="left"/>
      </w:pPr>
      <w:r>
        <w:rPr>
          <w:sz w:val="20"/>
          <w:szCs w:val="20"/>
        </w:rPr>
        <w:t xml:space="preserve">Katz, E. (2016). Beyond the physical incident model: How children living with domestic violence are harmed by and resist regimes of coercive control. </w:t>
      </w:r>
      <w:r>
        <w:rPr>
          <w:i/>
          <w:iCs/>
          <w:sz w:val="20"/>
          <w:szCs w:val="20"/>
        </w:rPr>
        <w:t>Child abuse review</w:t>
      </w:r>
      <w:r>
        <w:rPr>
          <w:sz w:val="20"/>
          <w:szCs w:val="20"/>
        </w:rPr>
        <w:t xml:space="preserve">, </w:t>
      </w:r>
      <w:r>
        <w:rPr>
          <w:i/>
          <w:iCs/>
          <w:sz w:val="20"/>
          <w:szCs w:val="20"/>
        </w:rPr>
        <w:t>25</w:t>
      </w:r>
      <w:r>
        <w:rPr>
          <w:sz w:val="20"/>
          <w:szCs w:val="20"/>
        </w:rPr>
        <w:t>(1), 46-59.</w:t>
      </w:r>
    </w:p>
    <w:p w14:paraId="056383DA" w14:textId="77777777" w:rsidR="00E63D5B" w:rsidRDefault="001F059D">
      <w:pPr>
        <w:spacing w:after="80" w:line="240" w:lineRule="auto"/>
        <w:ind w:left="567" w:hanging="567"/>
        <w:jc w:val="left"/>
      </w:pPr>
      <w:r>
        <w:rPr>
          <w:sz w:val="20"/>
          <w:szCs w:val="20"/>
        </w:rPr>
        <w:t xml:space="preserve">Kaufman, J., &amp; Zigler, E. (1987). </w:t>
      </w:r>
      <w:r>
        <w:rPr>
          <w:i/>
          <w:iCs/>
          <w:sz w:val="20"/>
          <w:szCs w:val="20"/>
        </w:rPr>
        <w:t xml:space="preserve">Do Abused Children Become Abusive </w:t>
      </w:r>
      <w:proofErr w:type="gramStart"/>
      <w:r>
        <w:rPr>
          <w:i/>
          <w:iCs/>
          <w:sz w:val="20"/>
          <w:szCs w:val="20"/>
        </w:rPr>
        <w:t>Parents?</w:t>
      </w:r>
      <w:r>
        <w:rPr>
          <w:sz w:val="20"/>
          <w:szCs w:val="20"/>
        </w:rPr>
        <w:t>.</w:t>
      </w:r>
      <w:proofErr w:type="gramEnd"/>
      <w:r>
        <w:rPr>
          <w:sz w:val="20"/>
          <w:szCs w:val="20"/>
        </w:rPr>
        <w:t xml:space="preserve"> American Journal of Orthopsychiatry, 57(2), 186–192. https://doi.org/10.1111/j.1939-0025.1987.tb03528.x</w:t>
      </w:r>
    </w:p>
    <w:p w14:paraId="55C5EE41" w14:textId="77777777" w:rsidR="000956C9" w:rsidRDefault="00F56A84">
      <w:pPr>
        <w:spacing w:after="80" w:line="240" w:lineRule="auto"/>
        <w:ind w:left="567" w:hanging="567"/>
        <w:jc w:val="left"/>
      </w:pPr>
      <w:r>
        <w:rPr>
          <w:sz w:val="20"/>
          <w:szCs w:val="20"/>
        </w:rPr>
        <w:t xml:space="preserve">Kelly, L. (1988). </w:t>
      </w:r>
      <w:r>
        <w:rPr>
          <w:i/>
          <w:iCs/>
          <w:sz w:val="20"/>
          <w:szCs w:val="20"/>
        </w:rPr>
        <w:t>Surviving sexual violence</w:t>
      </w:r>
      <w:r>
        <w:rPr>
          <w:sz w:val="20"/>
          <w:szCs w:val="20"/>
        </w:rPr>
        <w:t>. Polity Press.</w:t>
      </w:r>
    </w:p>
    <w:p w14:paraId="255205F6" w14:textId="77777777" w:rsidR="00E63D5B" w:rsidRDefault="001F059D">
      <w:pPr>
        <w:spacing w:after="80" w:line="240" w:lineRule="auto"/>
        <w:ind w:left="567" w:hanging="567"/>
        <w:jc w:val="left"/>
      </w:pPr>
      <w:r>
        <w:rPr>
          <w:sz w:val="20"/>
          <w:szCs w:val="20"/>
        </w:rPr>
        <w:lastRenderedPageBreak/>
        <w:t xml:space="preserve">Kelly, L., &amp; </w:t>
      </w:r>
      <w:proofErr w:type="spellStart"/>
      <w:r>
        <w:rPr>
          <w:sz w:val="20"/>
          <w:szCs w:val="20"/>
        </w:rPr>
        <w:t>Westmarland</w:t>
      </w:r>
      <w:proofErr w:type="spellEnd"/>
      <w:r>
        <w:rPr>
          <w:sz w:val="20"/>
          <w:szCs w:val="20"/>
        </w:rPr>
        <w:t xml:space="preserve">, N. (2015). </w:t>
      </w:r>
      <w:r>
        <w:rPr>
          <w:i/>
          <w:iCs/>
          <w:sz w:val="20"/>
          <w:szCs w:val="20"/>
        </w:rPr>
        <w:t xml:space="preserve">Domestic violence perpetrator </w:t>
      </w:r>
      <w:proofErr w:type="spellStart"/>
      <w:r>
        <w:rPr>
          <w:i/>
          <w:iCs/>
          <w:sz w:val="20"/>
          <w:szCs w:val="20"/>
        </w:rPr>
        <w:t>programmes</w:t>
      </w:r>
      <w:proofErr w:type="spellEnd"/>
      <w:r>
        <w:rPr>
          <w:i/>
          <w:iCs/>
          <w:sz w:val="20"/>
          <w:szCs w:val="20"/>
        </w:rPr>
        <w:t>: Steps towards change. Project Mirabal Final Report</w:t>
      </w:r>
      <w:r>
        <w:rPr>
          <w:sz w:val="20"/>
          <w:szCs w:val="20"/>
        </w:rPr>
        <w:t>. London Metropolitan University &amp; Durham University.</w:t>
      </w:r>
    </w:p>
    <w:p w14:paraId="56BB79BE" w14:textId="77777777" w:rsidR="00E63D5B" w:rsidRDefault="001F059D">
      <w:pPr>
        <w:spacing w:after="80" w:line="240" w:lineRule="auto"/>
        <w:ind w:left="567" w:hanging="567"/>
        <w:jc w:val="left"/>
      </w:pPr>
      <w:r>
        <w:rPr>
          <w:sz w:val="20"/>
          <w:szCs w:val="20"/>
        </w:rPr>
        <w:t xml:space="preserve">Kennedy, S. C., Kim, J. S., Tripodi, S. J., Brown, S. M., &amp; Gowdy, G. (2016). Does Parent–Child Interaction Therapy reduce future physical abuse? A meta-analysis. </w:t>
      </w:r>
      <w:r>
        <w:rPr>
          <w:i/>
          <w:iCs/>
          <w:sz w:val="20"/>
          <w:szCs w:val="20"/>
        </w:rPr>
        <w:t>Research on Social Work Practice, 26</w:t>
      </w:r>
      <w:r>
        <w:rPr>
          <w:sz w:val="20"/>
          <w:szCs w:val="20"/>
        </w:rPr>
        <w:t>(2), 147–156. https://doi.org/10.1177/1049731514543024</w:t>
      </w:r>
    </w:p>
    <w:p w14:paraId="713A63E2" w14:textId="77777777" w:rsidR="00E63D5B" w:rsidRDefault="001F059D">
      <w:pPr>
        <w:spacing w:after="80" w:line="240" w:lineRule="auto"/>
        <w:ind w:left="567" w:hanging="567"/>
        <w:jc w:val="left"/>
      </w:pPr>
      <w:proofErr w:type="spellStart"/>
      <w:r>
        <w:rPr>
          <w:sz w:val="20"/>
          <w:szCs w:val="20"/>
        </w:rPr>
        <w:t>Kernic</w:t>
      </w:r>
      <w:proofErr w:type="spellEnd"/>
      <w:r>
        <w:rPr>
          <w:sz w:val="20"/>
          <w:szCs w:val="20"/>
        </w:rPr>
        <w:t xml:space="preserve">, M. A., Holt, V. L., Stoner, J. A., Wolf, M. E., &amp; Rivara, F. P. (2003). Resolution of depression among victims of intimate partner violence: Is cessation of violence enough? </w:t>
      </w:r>
      <w:r>
        <w:rPr>
          <w:i/>
          <w:iCs/>
          <w:sz w:val="20"/>
          <w:szCs w:val="20"/>
        </w:rPr>
        <w:t>Violence and Victims, 18</w:t>
      </w:r>
      <w:r>
        <w:rPr>
          <w:sz w:val="20"/>
          <w:szCs w:val="20"/>
        </w:rPr>
        <w:t>(2), 115–129. https://doi.org/10.1891/vivi.2003.18.2.115</w:t>
      </w:r>
    </w:p>
    <w:p w14:paraId="6816CA96" w14:textId="77777777" w:rsidR="00E63D5B" w:rsidRDefault="001F059D">
      <w:pPr>
        <w:spacing w:after="80" w:line="240" w:lineRule="auto"/>
        <w:ind w:left="567" w:hanging="567"/>
        <w:jc w:val="left"/>
      </w:pPr>
      <w:r>
        <w:rPr>
          <w:sz w:val="20"/>
          <w:szCs w:val="20"/>
        </w:rPr>
        <w:t>Kidd, K. N., Prasad, D., Cunningham, J. E. A., de Azevedo Cardoso, T., &amp; Frey, B. N. (2022). The relationship between parental bonding and mood, anxiety and related disorders in adulthood: A systematic review and meta-analysis. Journal of Affective Disorders, 307, 221–236. https://doi.org/10.1016/j.jad.2022.03.069</w:t>
      </w:r>
    </w:p>
    <w:p w14:paraId="4D66D580" w14:textId="77777777" w:rsidR="00E63D5B" w:rsidRDefault="001F059D">
      <w:pPr>
        <w:spacing w:after="80" w:line="240" w:lineRule="auto"/>
        <w:ind w:left="567" w:hanging="567"/>
        <w:jc w:val="left"/>
      </w:pPr>
      <w:r>
        <w:rPr>
          <w:sz w:val="20"/>
          <w:szCs w:val="20"/>
        </w:rPr>
        <w:t xml:space="preserve">Kilmer, R. P., Gil-Rivas, V., Tedeschi, R. G., </w:t>
      </w:r>
      <w:proofErr w:type="spellStart"/>
      <w:r>
        <w:rPr>
          <w:sz w:val="20"/>
          <w:szCs w:val="20"/>
        </w:rPr>
        <w:t>Cann</w:t>
      </w:r>
      <w:proofErr w:type="spellEnd"/>
      <w:r>
        <w:rPr>
          <w:sz w:val="20"/>
          <w:szCs w:val="20"/>
        </w:rPr>
        <w:t>, A., Calhoun, L. G., Buchanan, T., &amp; Taku, K. (2009). Use of the revised Posttraumatic Growth Inventory for Children (PTGI-C-R). Journal of Traumatic Stress, 22(3), 248–253. https://doi.org/10.1002/jts.20410</w:t>
      </w:r>
    </w:p>
    <w:p w14:paraId="7D1976BF" w14:textId="77777777" w:rsidR="00E63D5B" w:rsidRDefault="001F059D">
      <w:pPr>
        <w:spacing w:after="80" w:line="240" w:lineRule="auto"/>
        <w:ind w:left="567" w:hanging="567"/>
        <w:jc w:val="left"/>
      </w:pPr>
      <w:r>
        <w:rPr>
          <w:sz w:val="20"/>
          <w:szCs w:val="20"/>
        </w:rPr>
        <w:t xml:space="preserve">Kilpatrick, D. G. (2004). What is violence against women: Defining and measuring the problem. </w:t>
      </w:r>
      <w:r>
        <w:rPr>
          <w:i/>
          <w:iCs/>
          <w:sz w:val="20"/>
          <w:szCs w:val="20"/>
        </w:rPr>
        <w:t>Journal of Interpersonal Violence, 19</w:t>
      </w:r>
      <w:r>
        <w:rPr>
          <w:sz w:val="20"/>
          <w:szCs w:val="20"/>
        </w:rPr>
        <w:t>(11), 1209–1234. https://doi.org/10.1177/0886260504269679</w:t>
      </w:r>
    </w:p>
    <w:p w14:paraId="54ED8921" w14:textId="77777777" w:rsidR="00E63D5B" w:rsidRDefault="001F059D">
      <w:pPr>
        <w:spacing w:after="80" w:line="240" w:lineRule="auto"/>
        <w:ind w:left="567" w:hanging="567"/>
        <w:jc w:val="left"/>
      </w:pPr>
      <w:r>
        <w:rPr>
          <w:sz w:val="20"/>
          <w:szCs w:val="20"/>
        </w:rPr>
        <w:t>Kitzmann, K. M., Gaylord, N. K., Holt, A. R., &amp; Kenny, E. D. (2003). Child witnesses to domestic violence: A meta-analytic review. Journal of Consulting and Clinical Psychology, 71(2), 339–352. https://doi.org/10.1037/0022-006X.71.2.339</w:t>
      </w:r>
    </w:p>
    <w:p w14:paraId="37B287B0" w14:textId="77777777" w:rsidR="00E63D5B" w:rsidRDefault="001F059D">
      <w:pPr>
        <w:spacing w:after="80" w:line="240" w:lineRule="auto"/>
        <w:ind w:left="567" w:hanging="567"/>
        <w:jc w:val="left"/>
      </w:pPr>
      <w:r>
        <w:rPr>
          <w:sz w:val="20"/>
          <w:szCs w:val="20"/>
        </w:rPr>
        <w:t>Knight, K. E., Menard, S., Simmons, S. B., Bouffard, L. A., &amp; Orsi, R. (2016). Life course and intergenerational continuity of intimate partner aggression and physical injury: A 20-year study. Violence and Victims, 31(3), 381–401. https://doi.org/10.1891/0886-6708.VV-D-14-00188</w:t>
      </w:r>
    </w:p>
    <w:p w14:paraId="570C3677" w14:textId="77777777" w:rsidR="00E63D5B" w:rsidRDefault="001F059D">
      <w:pPr>
        <w:spacing w:after="80" w:line="240" w:lineRule="auto"/>
        <w:ind w:left="567" w:hanging="567"/>
        <w:jc w:val="left"/>
      </w:pPr>
      <w:r>
        <w:rPr>
          <w:sz w:val="20"/>
          <w:szCs w:val="20"/>
        </w:rPr>
        <w:t xml:space="preserve">Kourti, A., Stavridou, A., </w:t>
      </w:r>
      <w:proofErr w:type="spellStart"/>
      <w:r>
        <w:rPr>
          <w:sz w:val="20"/>
          <w:szCs w:val="20"/>
        </w:rPr>
        <w:t>Panagouli</w:t>
      </w:r>
      <w:proofErr w:type="spellEnd"/>
      <w:r>
        <w:rPr>
          <w:sz w:val="20"/>
          <w:szCs w:val="20"/>
        </w:rPr>
        <w:t xml:space="preserve">, E., </w:t>
      </w:r>
      <w:proofErr w:type="spellStart"/>
      <w:r>
        <w:rPr>
          <w:sz w:val="20"/>
          <w:szCs w:val="20"/>
        </w:rPr>
        <w:t>Psaltopoulou</w:t>
      </w:r>
      <w:proofErr w:type="spellEnd"/>
      <w:r>
        <w:rPr>
          <w:sz w:val="20"/>
          <w:szCs w:val="20"/>
        </w:rPr>
        <w:t xml:space="preserve">, T., Spiliopoulou, C., Tsolia, M., </w:t>
      </w:r>
      <w:proofErr w:type="spellStart"/>
      <w:r>
        <w:rPr>
          <w:sz w:val="20"/>
          <w:szCs w:val="20"/>
        </w:rPr>
        <w:t>Sergentanis</w:t>
      </w:r>
      <w:proofErr w:type="spellEnd"/>
      <w:r>
        <w:rPr>
          <w:sz w:val="20"/>
          <w:szCs w:val="20"/>
        </w:rPr>
        <w:t xml:space="preserve">, T. N., &amp; </w:t>
      </w:r>
      <w:proofErr w:type="spellStart"/>
      <w:r>
        <w:rPr>
          <w:sz w:val="20"/>
          <w:szCs w:val="20"/>
        </w:rPr>
        <w:t>Tsitsika</w:t>
      </w:r>
      <w:proofErr w:type="spellEnd"/>
      <w:r>
        <w:rPr>
          <w:sz w:val="20"/>
          <w:szCs w:val="20"/>
        </w:rPr>
        <w:t xml:space="preserve">, A. (2023). Domestic violence during the COVID-19 pandemic: A systematic review. </w:t>
      </w:r>
      <w:r>
        <w:rPr>
          <w:i/>
          <w:iCs/>
          <w:sz w:val="20"/>
          <w:szCs w:val="20"/>
        </w:rPr>
        <w:t>Trauma, Violence, &amp; Abuse, 24</w:t>
      </w:r>
      <w:r>
        <w:rPr>
          <w:sz w:val="20"/>
          <w:szCs w:val="20"/>
        </w:rPr>
        <w:t>(2), 719–745. https://doi.org/10.1177/15248380211038690</w:t>
      </w:r>
    </w:p>
    <w:p w14:paraId="0A9250AB" w14:textId="77777777" w:rsidR="00E63D5B" w:rsidRDefault="001F059D">
      <w:pPr>
        <w:spacing w:after="80" w:line="240" w:lineRule="auto"/>
        <w:ind w:left="567" w:hanging="567"/>
        <w:jc w:val="left"/>
      </w:pPr>
      <w:r>
        <w:rPr>
          <w:sz w:val="20"/>
          <w:szCs w:val="20"/>
        </w:rPr>
        <w:t xml:space="preserve">Krishnakumar, A., &amp; Buehler, C. (2000). Interparental conflict and parenting behaviors: A meta-analytic review. </w:t>
      </w:r>
      <w:r>
        <w:rPr>
          <w:i/>
          <w:iCs/>
          <w:sz w:val="20"/>
          <w:szCs w:val="20"/>
        </w:rPr>
        <w:t>Family Relations, 49</w:t>
      </w:r>
      <w:r>
        <w:rPr>
          <w:sz w:val="20"/>
          <w:szCs w:val="20"/>
        </w:rPr>
        <w:t>(1), 25–44. https://doi.org/10.1111/j.1741-3729.2000.00025.x</w:t>
      </w:r>
    </w:p>
    <w:p w14:paraId="2A2D7701" w14:textId="77777777" w:rsidR="00E63D5B" w:rsidRDefault="001F059D">
      <w:pPr>
        <w:spacing w:after="80" w:line="240" w:lineRule="auto"/>
        <w:ind w:left="567" w:hanging="567"/>
        <w:jc w:val="left"/>
      </w:pPr>
      <w:r>
        <w:rPr>
          <w:sz w:val="20"/>
          <w:szCs w:val="20"/>
        </w:rPr>
        <w:t xml:space="preserve">Kroenke, K., Spitzer, R. L., &amp; Williams, J. B. (2001). </w:t>
      </w:r>
      <w:proofErr w:type="gramStart"/>
      <w:r>
        <w:rPr>
          <w:sz w:val="20"/>
          <w:szCs w:val="20"/>
        </w:rPr>
        <w:t>The PHQ</w:t>
      </w:r>
      <w:proofErr w:type="gramEnd"/>
      <w:r>
        <w:rPr>
          <w:sz w:val="20"/>
          <w:szCs w:val="20"/>
        </w:rPr>
        <w:t xml:space="preserve">-9: Validity of a brief depression severity measure. </w:t>
      </w:r>
      <w:r>
        <w:rPr>
          <w:i/>
          <w:iCs/>
          <w:sz w:val="20"/>
          <w:szCs w:val="20"/>
        </w:rPr>
        <w:t>Journal of General Internal Medicine, 16</w:t>
      </w:r>
      <w:r>
        <w:rPr>
          <w:sz w:val="20"/>
          <w:szCs w:val="20"/>
        </w:rPr>
        <w:t>(9), 606–613. https://doi.org/10.1046/j.1525-1497.2001.016009606.x</w:t>
      </w:r>
    </w:p>
    <w:p w14:paraId="2D3B34C3" w14:textId="77777777" w:rsidR="00E63D5B" w:rsidRDefault="001F059D">
      <w:pPr>
        <w:spacing w:after="80" w:line="240" w:lineRule="auto"/>
        <w:ind w:left="567" w:hanging="567"/>
        <w:jc w:val="left"/>
      </w:pPr>
      <w:r>
        <w:rPr>
          <w:sz w:val="20"/>
          <w:szCs w:val="20"/>
        </w:rPr>
        <w:t xml:space="preserve">Krug, E. G., Dahlberg, L. L., Mercy, J. A., Zwi, A. B., &amp; Lozano, R. (Eds.). (2002). </w:t>
      </w:r>
      <w:r>
        <w:rPr>
          <w:i/>
          <w:iCs/>
          <w:sz w:val="20"/>
          <w:szCs w:val="20"/>
        </w:rPr>
        <w:t>World report on violence and health</w:t>
      </w:r>
      <w:r>
        <w:rPr>
          <w:sz w:val="20"/>
          <w:szCs w:val="20"/>
        </w:rPr>
        <w:t>. World Health Organization.</w:t>
      </w:r>
    </w:p>
    <w:p w14:paraId="5363D6AF" w14:textId="77777777" w:rsidR="00E63D5B" w:rsidRDefault="001F059D">
      <w:pPr>
        <w:spacing w:after="80" w:line="240" w:lineRule="auto"/>
        <w:ind w:left="567" w:hanging="567"/>
        <w:jc w:val="left"/>
      </w:pPr>
      <w:r>
        <w:rPr>
          <w:sz w:val="20"/>
          <w:szCs w:val="20"/>
        </w:rPr>
        <w:t>Kulkarni, S. (2019). Intersectional trauma-informed intimate partner violence (IPV) services: Narrowing the gap between IPV service delivery and survivor needs. Journal of Family Violence, 34(1), 55–64.</w:t>
      </w:r>
    </w:p>
    <w:p w14:paraId="382FDA1B" w14:textId="77777777" w:rsidR="00E63D5B" w:rsidRDefault="001F059D">
      <w:pPr>
        <w:spacing w:after="80" w:line="240" w:lineRule="auto"/>
        <w:ind w:left="567" w:hanging="567"/>
        <w:jc w:val="left"/>
      </w:pPr>
      <w:r>
        <w:rPr>
          <w:sz w:val="20"/>
          <w:szCs w:val="20"/>
        </w:rPr>
        <w:t xml:space="preserve">Kyriazos, T. A., </w:t>
      </w:r>
      <w:proofErr w:type="spellStart"/>
      <w:r>
        <w:rPr>
          <w:sz w:val="20"/>
          <w:szCs w:val="20"/>
        </w:rPr>
        <w:t>Stalikas</w:t>
      </w:r>
      <w:proofErr w:type="spellEnd"/>
      <w:r>
        <w:rPr>
          <w:sz w:val="20"/>
          <w:szCs w:val="20"/>
        </w:rPr>
        <w:t xml:space="preserve">, A., </w:t>
      </w:r>
      <w:proofErr w:type="spellStart"/>
      <w:r>
        <w:rPr>
          <w:sz w:val="20"/>
          <w:szCs w:val="20"/>
        </w:rPr>
        <w:t>Prassa</w:t>
      </w:r>
      <w:proofErr w:type="spellEnd"/>
      <w:r>
        <w:rPr>
          <w:sz w:val="20"/>
          <w:szCs w:val="20"/>
        </w:rPr>
        <w:t xml:space="preserve">, K., Galanakis, M., </w:t>
      </w:r>
      <w:proofErr w:type="spellStart"/>
      <w:r>
        <w:rPr>
          <w:sz w:val="20"/>
          <w:szCs w:val="20"/>
        </w:rPr>
        <w:t>Yotsidi</w:t>
      </w:r>
      <w:proofErr w:type="spellEnd"/>
      <w:r>
        <w:rPr>
          <w:sz w:val="20"/>
          <w:szCs w:val="20"/>
        </w:rPr>
        <w:t xml:space="preserve">, V., &amp; </w:t>
      </w:r>
      <w:proofErr w:type="spellStart"/>
      <w:r>
        <w:rPr>
          <w:sz w:val="20"/>
          <w:szCs w:val="20"/>
        </w:rPr>
        <w:t>Lakioti</w:t>
      </w:r>
      <w:proofErr w:type="spellEnd"/>
      <w:r>
        <w:rPr>
          <w:sz w:val="20"/>
          <w:szCs w:val="20"/>
        </w:rPr>
        <w:t xml:space="preserve">, A. (2018). Psychometric evidence of the Brief Resilience Scale (BRS) and modeling distinctiveness of resilience from depression and stress. </w:t>
      </w:r>
      <w:r>
        <w:rPr>
          <w:i/>
          <w:iCs/>
          <w:sz w:val="20"/>
          <w:szCs w:val="20"/>
        </w:rPr>
        <w:t>Psychology, 9</w:t>
      </w:r>
      <w:r>
        <w:rPr>
          <w:sz w:val="20"/>
          <w:szCs w:val="20"/>
        </w:rPr>
        <w:t>(7), 1828–1857. https://doi.org/10.4236/psych.2018.97107</w:t>
      </w:r>
    </w:p>
    <w:p w14:paraId="1ECF122E" w14:textId="77777777" w:rsidR="00E63D5B" w:rsidRDefault="001F059D">
      <w:pPr>
        <w:spacing w:after="80" w:line="240" w:lineRule="auto"/>
        <w:ind w:left="567" w:hanging="567"/>
        <w:jc w:val="left"/>
      </w:pPr>
      <w:r>
        <w:rPr>
          <w:sz w:val="20"/>
          <w:szCs w:val="20"/>
        </w:rPr>
        <w:t xml:space="preserve">Lambert, J. E., Holzer, J., &amp; Hasbun, A. (2014). Association between parents' PTSD severity and children's psychological distress: A meta-analysis. </w:t>
      </w:r>
      <w:r>
        <w:rPr>
          <w:i/>
          <w:iCs/>
          <w:sz w:val="20"/>
          <w:szCs w:val="20"/>
        </w:rPr>
        <w:t>Journal of Traumatic Stress, 27</w:t>
      </w:r>
      <w:r>
        <w:rPr>
          <w:sz w:val="20"/>
          <w:szCs w:val="20"/>
        </w:rPr>
        <w:t>(1), 9–17. https://doi.org/10.1002/jts.21891</w:t>
      </w:r>
    </w:p>
    <w:p w14:paraId="08F9366C" w14:textId="77777777" w:rsidR="000956C9" w:rsidRDefault="00F56A84">
      <w:pPr>
        <w:spacing w:after="80" w:line="240" w:lineRule="auto"/>
        <w:ind w:left="567" w:hanging="567"/>
        <w:jc w:val="left"/>
      </w:pPr>
      <w:r>
        <w:rPr>
          <w:sz w:val="20"/>
          <w:szCs w:val="20"/>
        </w:rPr>
        <w:t xml:space="preserve">Lavi, I., Gard, A. M., Hagan, M., Van Horn, P. J., &amp; Lieberman, A. F. (2015). Child–Parent Psychotherapy examined in a perinatal sample: Depression, posttraumatic stress symptoms and child-rearing attitudes. </w:t>
      </w:r>
      <w:r>
        <w:rPr>
          <w:i/>
          <w:iCs/>
          <w:sz w:val="20"/>
          <w:szCs w:val="20"/>
        </w:rPr>
        <w:t>Journal of Social and Clinical Psychology, 34</w:t>
      </w:r>
      <w:r>
        <w:rPr>
          <w:sz w:val="20"/>
          <w:szCs w:val="20"/>
        </w:rPr>
        <w:t>(1), 64–82.</w:t>
      </w:r>
    </w:p>
    <w:p w14:paraId="5BA97A31" w14:textId="77777777" w:rsidR="00E63D5B" w:rsidRDefault="001F059D">
      <w:pPr>
        <w:spacing w:after="80" w:line="240" w:lineRule="auto"/>
        <w:ind w:left="567" w:hanging="567"/>
        <w:jc w:val="left"/>
      </w:pPr>
      <w:r>
        <w:rPr>
          <w:sz w:val="20"/>
          <w:szCs w:val="20"/>
        </w:rPr>
        <w:t xml:space="preserve">Lelaurain, S., Fonte, D., Giger, J.-C., Guignard, S., &amp; Lo Monaco, G. (2021). Legitimizing intimate partner violence: The role of romantic love and the mediating effect of patriarchal ideologies. </w:t>
      </w:r>
      <w:r>
        <w:rPr>
          <w:i/>
          <w:iCs/>
          <w:sz w:val="20"/>
          <w:szCs w:val="20"/>
        </w:rPr>
        <w:t>Journal of Interpersonal Violence, 36</w:t>
      </w:r>
      <w:r>
        <w:rPr>
          <w:sz w:val="20"/>
          <w:szCs w:val="20"/>
        </w:rPr>
        <w:t>(13–14), 6351–6368.</w:t>
      </w:r>
    </w:p>
    <w:p w14:paraId="0FC1830B" w14:textId="77777777" w:rsidR="00E63D5B" w:rsidRDefault="001F059D">
      <w:pPr>
        <w:spacing w:after="80" w:line="240" w:lineRule="auto"/>
        <w:ind w:left="567" w:hanging="567"/>
        <w:jc w:val="left"/>
      </w:pPr>
      <w:r>
        <w:rPr>
          <w:sz w:val="20"/>
          <w:szCs w:val="20"/>
        </w:rPr>
        <w:t>Lempert, L. B. (1996). Women's strategies for survival: Developing agency in abusive relationships. Journal of Family Violence, 11(3), 269–289.</w:t>
      </w:r>
    </w:p>
    <w:p w14:paraId="0DCCFD4A" w14:textId="77777777" w:rsidR="00E63D5B" w:rsidRDefault="001F059D">
      <w:pPr>
        <w:spacing w:after="80" w:line="240" w:lineRule="auto"/>
        <w:ind w:left="567" w:hanging="567"/>
        <w:jc w:val="left"/>
      </w:pPr>
      <w:r>
        <w:rPr>
          <w:sz w:val="20"/>
          <w:szCs w:val="20"/>
        </w:rPr>
        <w:t xml:space="preserve">Levendosky, A. A., </w:t>
      </w:r>
      <w:proofErr w:type="spellStart"/>
      <w:r>
        <w:rPr>
          <w:sz w:val="20"/>
          <w:szCs w:val="20"/>
        </w:rPr>
        <w:t>Bogat</w:t>
      </w:r>
      <w:proofErr w:type="spellEnd"/>
      <w:r>
        <w:rPr>
          <w:sz w:val="20"/>
          <w:szCs w:val="20"/>
        </w:rPr>
        <w:t xml:space="preserve">, G. A., Lonstein, J. S., Martinez-Torteya, C., Muzik, M., Granger, D. A., &amp; von Eye, A. (2016). Infant adrenocortical reactivity and behavioral functioning: Relation to early exposure to </w:t>
      </w:r>
      <w:r>
        <w:rPr>
          <w:sz w:val="20"/>
          <w:szCs w:val="20"/>
        </w:rPr>
        <w:lastRenderedPageBreak/>
        <w:t xml:space="preserve">maternal intimate partner violence. </w:t>
      </w:r>
      <w:r>
        <w:rPr>
          <w:i/>
          <w:iCs/>
          <w:sz w:val="20"/>
          <w:szCs w:val="20"/>
        </w:rPr>
        <w:t>Stress, 19</w:t>
      </w:r>
      <w:r>
        <w:rPr>
          <w:sz w:val="20"/>
          <w:szCs w:val="20"/>
        </w:rPr>
        <w:t>(1), 37–44. https://doi.org/10.3109/10253890.2015.1108303</w:t>
      </w:r>
    </w:p>
    <w:p w14:paraId="0C1DAD85" w14:textId="77777777" w:rsidR="00E63D5B" w:rsidRDefault="001F059D">
      <w:pPr>
        <w:spacing w:after="80" w:line="240" w:lineRule="auto"/>
        <w:ind w:left="567" w:hanging="567"/>
        <w:jc w:val="left"/>
      </w:pPr>
      <w:r>
        <w:rPr>
          <w:sz w:val="20"/>
          <w:szCs w:val="20"/>
        </w:rPr>
        <w:t>Levendosky, A. A., &amp; Graham-Bermann, S. A. (2001). Parenting in battered women: The effects of domestic violence on women and their children. Journal of Family Violence, 16(2), 171–192. https://doi.org/10.1023/A:1011111003373 Springer</w:t>
      </w:r>
    </w:p>
    <w:p w14:paraId="69966C2E" w14:textId="77777777" w:rsidR="00E63D5B" w:rsidRDefault="001F059D">
      <w:pPr>
        <w:spacing w:after="80" w:line="240" w:lineRule="auto"/>
        <w:ind w:left="567" w:hanging="567"/>
        <w:jc w:val="left"/>
      </w:pPr>
      <w:r>
        <w:rPr>
          <w:sz w:val="20"/>
          <w:szCs w:val="20"/>
        </w:rPr>
        <w:t xml:space="preserve">Levendosky, A. A., Huth-Bocks, A. C., Shapiro, D. L., &amp; Semel, M. A. (2003). </w:t>
      </w:r>
      <w:r>
        <w:rPr>
          <w:i/>
          <w:iCs/>
          <w:sz w:val="20"/>
          <w:szCs w:val="20"/>
        </w:rPr>
        <w:t>The Impact of Domestic Violence on the Maternal–Child Relationship and Preschool-Age Children's Functioning</w:t>
      </w:r>
      <w:r>
        <w:rPr>
          <w:sz w:val="20"/>
          <w:szCs w:val="20"/>
        </w:rPr>
        <w:t>. Journal of Family Psychology, 17(3), 275–287. https://pubmed.ncbi.nlm.nih.gov/14562453/</w:t>
      </w:r>
    </w:p>
    <w:p w14:paraId="4AC108A3" w14:textId="77777777" w:rsidR="00E63D5B" w:rsidRDefault="001F059D">
      <w:pPr>
        <w:spacing w:after="80" w:line="240" w:lineRule="auto"/>
        <w:ind w:left="567" w:hanging="567"/>
        <w:jc w:val="left"/>
      </w:pPr>
      <w:r>
        <w:rPr>
          <w:sz w:val="20"/>
          <w:szCs w:val="20"/>
        </w:rPr>
        <w:t xml:space="preserve">Levendosky, A. A., Leahy, K. L., </w:t>
      </w:r>
      <w:proofErr w:type="spellStart"/>
      <w:r>
        <w:rPr>
          <w:sz w:val="20"/>
          <w:szCs w:val="20"/>
        </w:rPr>
        <w:t>Bogat</w:t>
      </w:r>
      <w:proofErr w:type="spellEnd"/>
      <w:r>
        <w:rPr>
          <w:sz w:val="20"/>
          <w:szCs w:val="20"/>
        </w:rPr>
        <w:t>, G. A., Davidson, W. S., &amp; von Eye, A. (2006). Domestic violence, maternal parenting, maternal mental health, and infant externalizing behavior. Journal of Family Psychology, 20(4), 544–552. https://doi.org/10.1037/0893-3200.20.4.544</w:t>
      </w:r>
    </w:p>
    <w:p w14:paraId="6A752C94" w14:textId="77777777" w:rsidR="000956C9" w:rsidRDefault="00F56A84">
      <w:pPr>
        <w:spacing w:after="80" w:line="240" w:lineRule="auto"/>
        <w:ind w:left="567" w:hanging="567"/>
        <w:jc w:val="left"/>
      </w:pPr>
      <w:r>
        <w:rPr>
          <w:sz w:val="20"/>
          <w:szCs w:val="20"/>
        </w:rPr>
        <w:t xml:space="preserve">Lieberman, A. F., Diaz, M. A., &amp; Van Horn, P. (2009). Safer beginnings: Perinatal Child–Parent Psychotherapy for newborns and mothers exposed to domestic violence. </w:t>
      </w:r>
      <w:r>
        <w:rPr>
          <w:i/>
          <w:iCs/>
          <w:sz w:val="20"/>
          <w:szCs w:val="20"/>
        </w:rPr>
        <w:t>Zero to Three, 29</w:t>
      </w:r>
      <w:r>
        <w:rPr>
          <w:sz w:val="20"/>
          <w:szCs w:val="20"/>
        </w:rPr>
        <w:t>(5), 17–22.</w:t>
      </w:r>
    </w:p>
    <w:p w14:paraId="2C3C2207" w14:textId="77777777" w:rsidR="00E63D5B" w:rsidRDefault="001F059D">
      <w:pPr>
        <w:spacing w:after="80" w:line="240" w:lineRule="auto"/>
        <w:ind w:left="567" w:hanging="567"/>
        <w:jc w:val="left"/>
      </w:pPr>
      <w:r>
        <w:rPr>
          <w:sz w:val="20"/>
          <w:szCs w:val="20"/>
        </w:rPr>
        <w:t xml:space="preserve">Lieberman, A. F., </w:t>
      </w:r>
      <w:proofErr w:type="spellStart"/>
      <w:r>
        <w:rPr>
          <w:sz w:val="20"/>
          <w:szCs w:val="20"/>
        </w:rPr>
        <w:t>Ippen</w:t>
      </w:r>
      <w:proofErr w:type="spellEnd"/>
      <w:r>
        <w:rPr>
          <w:sz w:val="20"/>
          <w:szCs w:val="20"/>
        </w:rPr>
        <w:t xml:space="preserve">, C. G., &amp; Van Horn, P. (2015). </w:t>
      </w:r>
      <w:r>
        <w:rPr>
          <w:i/>
          <w:iCs/>
          <w:sz w:val="20"/>
          <w:szCs w:val="20"/>
        </w:rPr>
        <w:t>Don't hit my mommy! A manual for child–parent psychotherapy with young witnesses of family violence</w:t>
      </w:r>
      <w:r>
        <w:rPr>
          <w:sz w:val="20"/>
          <w:szCs w:val="20"/>
        </w:rPr>
        <w:t xml:space="preserve"> (2nd ed.). Zero to Three Press.</w:t>
      </w:r>
    </w:p>
    <w:p w14:paraId="19F22E7A" w14:textId="77777777" w:rsidR="00E63D5B" w:rsidRDefault="001F059D">
      <w:pPr>
        <w:spacing w:after="80" w:line="240" w:lineRule="auto"/>
        <w:ind w:left="567" w:hanging="567"/>
        <w:jc w:val="left"/>
      </w:pPr>
      <w:r>
        <w:rPr>
          <w:sz w:val="20"/>
          <w:szCs w:val="20"/>
        </w:rPr>
        <w:t xml:space="preserve">Lieberman, A. F., Padrón, E., Van Horn, P., &amp; Harris, W. W. (2005). Angels in the nursery: The intergenerational transmission of benevolent parental influences. </w:t>
      </w:r>
      <w:r>
        <w:rPr>
          <w:i/>
          <w:iCs/>
          <w:sz w:val="20"/>
          <w:szCs w:val="20"/>
        </w:rPr>
        <w:t>Infant Mental Health Journal, 26</w:t>
      </w:r>
      <w:r>
        <w:rPr>
          <w:sz w:val="20"/>
          <w:szCs w:val="20"/>
        </w:rPr>
        <w:t>(6), 504–520.</w:t>
      </w:r>
    </w:p>
    <w:p w14:paraId="7AEDC02E" w14:textId="77777777" w:rsidR="00E63D5B" w:rsidRDefault="001F059D">
      <w:pPr>
        <w:spacing w:after="80" w:line="240" w:lineRule="auto"/>
        <w:ind w:left="567" w:hanging="567"/>
        <w:jc w:val="left"/>
      </w:pPr>
      <w:r>
        <w:rPr>
          <w:sz w:val="20"/>
          <w:szCs w:val="20"/>
        </w:rPr>
        <w:t xml:space="preserve">Logan, T. K., Walker, R., Jordan, C. E., &amp; </w:t>
      </w:r>
      <w:proofErr w:type="spellStart"/>
      <w:r>
        <w:rPr>
          <w:sz w:val="20"/>
          <w:szCs w:val="20"/>
        </w:rPr>
        <w:t>Leukefeld</w:t>
      </w:r>
      <w:proofErr w:type="spellEnd"/>
      <w:r>
        <w:rPr>
          <w:sz w:val="20"/>
          <w:szCs w:val="20"/>
        </w:rPr>
        <w:t xml:space="preserve">, C. G. (2006). </w:t>
      </w:r>
      <w:r>
        <w:rPr>
          <w:i/>
          <w:iCs/>
          <w:sz w:val="20"/>
          <w:szCs w:val="20"/>
        </w:rPr>
        <w:t>Women and victimization: Contributing factors, interventions, and implications</w:t>
      </w:r>
      <w:r>
        <w:rPr>
          <w:sz w:val="20"/>
          <w:szCs w:val="20"/>
        </w:rPr>
        <w:t>. American Psychological Association.</w:t>
      </w:r>
    </w:p>
    <w:p w14:paraId="0DF297F4" w14:textId="77777777" w:rsidR="00E63D5B" w:rsidRDefault="001F059D">
      <w:pPr>
        <w:spacing w:after="80" w:line="240" w:lineRule="auto"/>
        <w:ind w:left="567" w:hanging="567"/>
        <w:jc w:val="left"/>
      </w:pPr>
      <w:r>
        <w:rPr>
          <w:sz w:val="20"/>
          <w:szCs w:val="20"/>
        </w:rPr>
        <w:t xml:space="preserve">Lohmann, S., Cowlishaw, S., Ney, L., O'Donnell, M., &amp; </w:t>
      </w:r>
      <w:proofErr w:type="spellStart"/>
      <w:r>
        <w:rPr>
          <w:sz w:val="20"/>
          <w:szCs w:val="20"/>
        </w:rPr>
        <w:t>Felmingham</w:t>
      </w:r>
      <w:proofErr w:type="spellEnd"/>
      <w:r>
        <w:rPr>
          <w:sz w:val="20"/>
          <w:szCs w:val="20"/>
        </w:rPr>
        <w:t>, K. (2024). The Trauma and Mental Health Impacts of Coercive Control: A Systematic Review and Meta-Analysis. Trauma, violence &amp; abuse, 25(1), 630–647. https://doi.org/10.1177/15248380231162972</w:t>
      </w:r>
    </w:p>
    <w:p w14:paraId="2EBC2D34" w14:textId="77777777" w:rsidR="00E63D5B" w:rsidRDefault="001F059D">
      <w:pPr>
        <w:spacing w:after="80" w:line="240" w:lineRule="auto"/>
        <w:ind w:left="567" w:hanging="567"/>
        <w:jc w:val="left"/>
      </w:pPr>
      <w:r>
        <w:rPr>
          <w:sz w:val="20"/>
          <w:szCs w:val="20"/>
        </w:rPr>
        <w:t>Low, S., Tiberio, S. S., Shortt, J. W., Mulford, C., Eddy, J. M., &amp; Capaldi, D. M. (2019). Intergenerational transmission of violence: The mediating role of adolescent psychopathology symptoms. Development and Psychopathology, 31(1), 233–245. https://doi.org/10.1017/S0954579417001833</w:t>
      </w:r>
    </w:p>
    <w:p w14:paraId="041EFB43" w14:textId="77777777" w:rsidR="000956C9" w:rsidRDefault="00F56A84">
      <w:pPr>
        <w:spacing w:after="80" w:line="240" w:lineRule="auto"/>
        <w:ind w:left="567" w:hanging="567"/>
        <w:jc w:val="left"/>
      </w:pPr>
      <w:r>
        <w:rPr>
          <w:sz w:val="20"/>
          <w:szCs w:val="20"/>
        </w:rPr>
        <w:t xml:space="preserve">Lowell, D. I., Carter, A. S., Godoy, L., </w:t>
      </w:r>
      <w:proofErr w:type="spellStart"/>
      <w:r>
        <w:rPr>
          <w:sz w:val="20"/>
          <w:szCs w:val="20"/>
        </w:rPr>
        <w:t>Paulicin</w:t>
      </w:r>
      <w:proofErr w:type="spellEnd"/>
      <w:r>
        <w:rPr>
          <w:sz w:val="20"/>
          <w:szCs w:val="20"/>
        </w:rPr>
        <w:t xml:space="preserve">, B., &amp; Briggs-Gowan, M. J. (2011). A randomized controlled trial of Child FIRST: A comprehensive home-based intervention translating research into early childhood practice. </w:t>
      </w:r>
      <w:r>
        <w:rPr>
          <w:i/>
          <w:iCs/>
          <w:sz w:val="20"/>
          <w:szCs w:val="20"/>
        </w:rPr>
        <w:t>Child Development, 82</w:t>
      </w:r>
      <w:r>
        <w:rPr>
          <w:sz w:val="20"/>
          <w:szCs w:val="20"/>
        </w:rPr>
        <w:t>(1), 193–208.</w:t>
      </w:r>
    </w:p>
    <w:p w14:paraId="3399E4E0" w14:textId="77777777" w:rsidR="00E63D5B" w:rsidRDefault="001F059D">
      <w:pPr>
        <w:spacing w:after="80" w:line="240" w:lineRule="auto"/>
        <w:ind w:left="567" w:hanging="567"/>
        <w:jc w:val="left"/>
      </w:pPr>
      <w:r>
        <w:rPr>
          <w:sz w:val="20"/>
          <w:szCs w:val="20"/>
        </w:rPr>
        <w:t>Machinga-</w:t>
      </w:r>
      <w:proofErr w:type="spellStart"/>
      <w:r>
        <w:rPr>
          <w:sz w:val="20"/>
          <w:szCs w:val="20"/>
        </w:rPr>
        <w:t>Asaolu</w:t>
      </w:r>
      <w:proofErr w:type="spellEnd"/>
      <w:r>
        <w:rPr>
          <w:sz w:val="20"/>
          <w:szCs w:val="20"/>
        </w:rPr>
        <w:t>, R. O. (2025). Post-traumatic growth promoting and inhibiting factors among intimate partner violence survivors: A systematic review. Trauma, Violence, &amp; Abuse, 26(4), 789–803. https://doi.org/10.1177/15248380241291075</w:t>
      </w:r>
    </w:p>
    <w:p w14:paraId="31EE2D4F" w14:textId="77777777" w:rsidR="00E63D5B" w:rsidRDefault="001F059D">
      <w:pPr>
        <w:spacing w:after="80" w:line="240" w:lineRule="auto"/>
        <w:ind w:left="567" w:hanging="567"/>
        <w:jc w:val="left"/>
      </w:pPr>
      <w:r>
        <w:rPr>
          <w:sz w:val="20"/>
          <w:szCs w:val="20"/>
        </w:rPr>
        <w:t xml:space="preserve">MacKinnon, D. P., Krull, J. L., &amp; Lockwood, C. M. (2000). Equivalence of the mediation, confounding and suppression effect. </w:t>
      </w:r>
      <w:r>
        <w:rPr>
          <w:i/>
          <w:iCs/>
          <w:sz w:val="20"/>
          <w:szCs w:val="20"/>
        </w:rPr>
        <w:t>Prevention Science, 1</w:t>
      </w:r>
      <w:r>
        <w:rPr>
          <w:sz w:val="20"/>
          <w:szCs w:val="20"/>
        </w:rPr>
        <w:t>(4), 173–181. https://doi.org/10.1023/A:1026595011371</w:t>
      </w:r>
    </w:p>
    <w:p w14:paraId="194CF190" w14:textId="77777777" w:rsidR="000956C9" w:rsidRDefault="00F56A84">
      <w:pPr>
        <w:spacing w:after="80" w:line="240" w:lineRule="auto"/>
        <w:ind w:left="567" w:hanging="567"/>
        <w:jc w:val="left"/>
      </w:pPr>
      <w:r>
        <w:rPr>
          <w:sz w:val="20"/>
          <w:szCs w:val="20"/>
        </w:rPr>
        <w:t xml:space="preserve">Madigan, S., Cyr, C., Eirich, R., Fearon, R. M. P., Ly, A., Rash, C., Poole, J. C., &amp; Alink, L. R. A. (2019). Testing the cycle of maltreatment hypothesis: Meta-analytic evidence of the intergenerational transmission of child maltreatment. </w:t>
      </w:r>
      <w:r>
        <w:rPr>
          <w:i/>
          <w:iCs/>
          <w:sz w:val="20"/>
          <w:szCs w:val="20"/>
        </w:rPr>
        <w:t>Development and Psychopathology, 31</w:t>
      </w:r>
      <w:r>
        <w:rPr>
          <w:sz w:val="20"/>
          <w:szCs w:val="20"/>
        </w:rPr>
        <w:t>(1), 23–51. https://doi.org/10.1017/S0954579418001700</w:t>
      </w:r>
    </w:p>
    <w:p w14:paraId="37DBEE31" w14:textId="77777777" w:rsidR="00E63D5B" w:rsidRDefault="001F059D">
      <w:pPr>
        <w:spacing w:after="80" w:line="240" w:lineRule="auto"/>
        <w:ind w:left="567" w:hanging="567"/>
        <w:jc w:val="left"/>
      </w:pPr>
      <w:r>
        <w:rPr>
          <w:sz w:val="20"/>
          <w:szCs w:val="20"/>
        </w:rPr>
        <w:t xml:space="preserve">Mahabir, C. (2026). Fragile Growth: Post-Traumatic Growth after Intimate Partner Violence. University of </w:t>
      </w:r>
      <w:proofErr w:type="spellStart"/>
      <w:r>
        <w:rPr>
          <w:sz w:val="20"/>
          <w:szCs w:val="20"/>
        </w:rPr>
        <w:t>Guelph.Fragile</w:t>
      </w:r>
      <w:proofErr w:type="spellEnd"/>
      <w:r>
        <w:rPr>
          <w:sz w:val="20"/>
          <w:szCs w:val="20"/>
        </w:rPr>
        <w:t xml:space="preserve"> Growth: Post-Traumatic Growth after Intimate Partner Violence</w:t>
      </w:r>
    </w:p>
    <w:p w14:paraId="0B4D8F37" w14:textId="77777777" w:rsidR="00E63D5B" w:rsidRDefault="001F059D">
      <w:pPr>
        <w:spacing w:after="80" w:line="240" w:lineRule="auto"/>
        <w:ind w:left="567" w:hanging="567"/>
        <w:jc w:val="left"/>
      </w:pPr>
      <w:r>
        <w:rPr>
          <w:sz w:val="20"/>
          <w:szCs w:val="20"/>
        </w:rPr>
        <w:t>Main, M., &amp; Goldwyn, R. (1984). Predicting rejection of her infant from mother's representation of her own experience: implications for the abused-abusing intergenerational cycle. Child abuse &amp; neglect, 8(2), 203–217. https://doi.org/10.1016/0145-2134(84)90009-7</w:t>
      </w:r>
    </w:p>
    <w:p w14:paraId="397BFA69" w14:textId="77777777" w:rsidR="00E63D5B" w:rsidRPr="00132066" w:rsidRDefault="001F059D">
      <w:pPr>
        <w:spacing w:after="80" w:line="240" w:lineRule="auto"/>
        <w:ind w:left="567" w:hanging="567"/>
        <w:jc w:val="left"/>
        <w:rPr>
          <w:lang w:val="el-GR"/>
        </w:rPr>
      </w:pPr>
      <w:r>
        <w:rPr>
          <w:sz w:val="20"/>
          <w:szCs w:val="20"/>
        </w:rPr>
        <w:t xml:space="preserve">Main, M., &amp; Hesse, E. (1990). Parents' Unresolved Traumatic Experiences Are Related to Infant Disorganized Attachment Status: Is Frightened and/or Frightening Parental Behavior the Linking Mechanism? In M. T. Greenberg, D. Cicchetti, &amp; E. M. Cummings (Eds.), </w:t>
      </w:r>
      <w:r>
        <w:rPr>
          <w:i/>
          <w:iCs/>
          <w:sz w:val="20"/>
          <w:szCs w:val="20"/>
        </w:rPr>
        <w:t>Attachment in the Preschool Years: Theory, Research, and Intervention</w:t>
      </w:r>
      <w:r>
        <w:rPr>
          <w:sz w:val="20"/>
          <w:szCs w:val="20"/>
        </w:rPr>
        <w:t xml:space="preserve"> (pp. 161-182). University</w:t>
      </w:r>
      <w:r>
        <w:rPr>
          <w:sz w:val="20"/>
          <w:szCs w:val="20"/>
          <w:lang w:val="el-GR"/>
        </w:rPr>
        <w:t xml:space="preserve"> </w:t>
      </w:r>
      <w:r>
        <w:rPr>
          <w:sz w:val="20"/>
          <w:szCs w:val="20"/>
        </w:rPr>
        <w:t>of</w:t>
      </w:r>
      <w:r>
        <w:rPr>
          <w:sz w:val="20"/>
          <w:szCs w:val="20"/>
          <w:lang w:val="el-GR"/>
        </w:rPr>
        <w:t xml:space="preserve"> </w:t>
      </w:r>
      <w:r>
        <w:rPr>
          <w:sz w:val="20"/>
          <w:szCs w:val="20"/>
        </w:rPr>
        <w:t>Chicago</w:t>
      </w:r>
      <w:r>
        <w:rPr>
          <w:sz w:val="20"/>
          <w:szCs w:val="20"/>
          <w:lang w:val="el-GR"/>
        </w:rPr>
        <w:t xml:space="preserve"> </w:t>
      </w:r>
      <w:r>
        <w:rPr>
          <w:sz w:val="20"/>
          <w:szCs w:val="20"/>
        </w:rPr>
        <w:t>Press</w:t>
      </w:r>
      <w:r>
        <w:rPr>
          <w:sz w:val="20"/>
          <w:szCs w:val="20"/>
          <w:lang w:val="el-GR"/>
        </w:rPr>
        <w:t>.</w:t>
      </w:r>
    </w:p>
    <w:p w14:paraId="64426848" w14:textId="77777777" w:rsidR="00E63D5B" w:rsidRDefault="001F059D">
      <w:pPr>
        <w:spacing w:after="80" w:line="240" w:lineRule="auto"/>
        <w:ind w:left="567" w:hanging="567"/>
        <w:jc w:val="left"/>
      </w:pPr>
      <w:r>
        <w:rPr>
          <w:sz w:val="20"/>
          <w:szCs w:val="20"/>
        </w:rPr>
        <w:t>Mason</w:t>
      </w:r>
      <w:r w:rsidRPr="000B7AA5">
        <w:rPr>
          <w:sz w:val="20"/>
          <w:szCs w:val="20"/>
          <w:lang w:val="el-GR"/>
        </w:rPr>
        <w:t xml:space="preserve">, </w:t>
      </w:r>
      <w:r>
        <w:rPr>
          <w:sz w:val="20"/>
          <w:szCs w:val="20"/>
        </w:rPr>
        <w:t>J</w:t>
      </w:r>
      <w:r w:rsidRPr="000B7AA5">
        <w:rPr>
          <w:sz w:val="20"/>
          <w:szCs w:val="20"/>
          <w:lang w:val="el-GR"/>
        </w:rPr>
        <w:t>.</w:t>
      </w:r>
      <w:r>
        <w:rPr>
          <w:sz w:val="20"/>
          <w:szCs w:val="20"/>
          <w:lang w:val="el-GR"/>
        </w:rPr>
        <w:t xml:space="preserve"> (2003). </w:t>
      </w:r>
      <w:r>
        <w:rPr>
          <w:i/>
          <w:iCs/>
          <w:sz w:val="20"/>
          <w:szCs w:val="20"/>
          <w:lang w:val="el-GR"/>
        </w:rPr>
        <w:t>Η διεξαγωγή της ποιοτικής έρευνας</w:t>
      </w:r>
      <w:r>
        <w:rPr>
          <w:sz w:val="20"/>
          <w:szCs w:val="20"/>
          <w:lang w:val="el-GR"/>
        </w:rPr>
        <w:t xml:space="preserve"> (Ν. Κυριαζή, </w:t>
      </w:r>
      <w:proofErr w:type="spellStart"/>
      <w:r>
        <w:rPr>
          <w:sz w:val="20"/>
          <w:szCs w:val="20"/>
          <w:lang w:val="el-GR"/>
        </w:rPr>
        <w:t>Επιμ</w:t>
      </w:r>
      <w:proofErr w:type="spellEnd"/>
      <w:r>
        <w:rPr>
          <w:sz w:val="20"/>
          <w:szCs w:val="20"/>
          <w:lang w:val="el-GR"/>
        </w:rPr>
        <w:t xml:space="preserve">.). </w:t>
      </w:r>
      <w:proofErr w:type="spellStart"/>
      <w:r>
        <w:rPr>
          <w:sz w:val="20"/>
          <w:szCs w:val="20"/>
        </w:rPr>
        <w:t>Ελληνικά</w:t>
      </w:r>
      <w:proofErr w:type="spellEnd"/>
      <w:r>
        <w:rPr>
          <w:sz w:val="20"/>
          <w:szCs w:val="20"/>
        </w:rPr>
        <w:t xml:space="preserve"> </w:t>
      </w:r>
      <w:proofErr w:type="spellStart"/>
      <w:r>
        <w:rPr>
          <w:sz w:val="20"/>
          <w:szCs w:val="20"/>
        </w:rPr>
        <w:t>Γράμμ</w:t>
      </w:r>
      <w:proofErr w:type="spellEnd"/>
      <w:r>
        <w:rPr>
          <w:sz w:val="20"/>
          <w:szCs w:val="20"/>
        </w:rPr>
        <w:t>ατα.</w:t>
      </w:r>
    </w:p>
    <w:p w14:paraId="62A77FB3" w14:textId="77777777" w:rsidR="00E63D5B" w:rsidRDefault="001F059D">
      <w:pPr>
        <w:spacing w:after="80" w:line="240" w:lineRule="auto"/>
        <w:ind w:left="567" w:hanging="567"/>
        <w:jc w:val="left"/>
      </w:pPr>
      <w:r>
        <w:rPr>
          <w:sz w:val="20"/>
          <w:szCs w:val="20"/>
        </w:rPr>
        <w:t xml:space="preserve">Masten, A. S. (2001). Ordinary magic: Resilience processes in development. </w:t>
      </w:r>
      <w:r>
        <w:rPr>
          <w:i/>
          <w:iCs/>
          <w:sz w:val="20"/>
          <w:szCs w:val="20"/>
        </w:rPr>
        <w:t>American Psychologist, 56</w:t>
      </w:r>
      <w:r>
        <w:rPr>
          <w:sz w:val="20"/>
          <w:szCs w:val="20"/>
        </w:rPr>
        <w:t>(3), 227–238. https://doi.org/10.1037/0003-066X.56.3.227</w:t>
      </w:r>
    </w:p>
    <w:p w14:paraId="4EDAE54C" w14:textId="77777777" w:rsidR="00E63D5B" w:rsidRDefault="001F059D">
      <w:pPr>
        <w:spacing w:after="80" w:line="240" w:lineRule="auto"/>
        <w:ind w:left="567" w:hanging="567"/>
        <w:jc w:val="left"/>
      </w:pPr>
      <w:r>
        <w:rPr>
          <w:sz w:val="20"/>
          <w:szCs w:val="20"/>
        </w:rPr>
        <w:t xml:space="preserve">Masten, A. S., &amp; Cicchetti, D. (2010). Developmental cascades. </w:t>
      </w:r>
      <w:r>
        <w:rPr>
          <w:i/>
          <w:iCs/>
          <w:sz w:val="20"/>
          <w:szCs w:val="20"/>
        </w:rPr>
        <w:t>Development and Psychopathology, 22</w:t>
      </w:r>
      <w:r>
        <w:rPr>
          <w:sz w:val="20"/>
          <w:szCs w:val="20"/>
        </w:rPr>
        <w:t>(3), 491–495. https://doi.org/10.1017/S0954579410000222</w:t>
      </w:r>
    </w:p>
    <w:p w14:paraId="3E9B6455" w14:textId="77777777" w:rsidR="00E63D5B" w:rsidRDefault="001F059D">
      <w:pPr>
        <w:spacing w:after="80" w:line="240" w:lineRule="auto"/>
        <w:ind w:left="567" w:hanging="567"/>
        <w:jc w:val="left"/>
      </w:pPr>
      <w:r>
        <w:rPr>
          <w:sz w:val="20"/>
          <w:szCs w:val="20"/>
        </w:rPr>
        <w:lastRenderedPageBreak/>
        <w:t>McConnell, N., Barnard, M., Holdsworth, T., &amp; Taylor, J. (2017). Caring Dads Safer Children: Families’ perspectives on an intervention for maltreating fathers. Psychology of Violence, 7(3), 406–416. https://doi.org/10.1037/vio0000105</w:t>
      </w:r>
    </w:p>
    <w:p w14:paraId="6A64F4E8" w14:textId="77777777" w:rsidR="00E63D5B" w:rsidRDefault="001F059D">
      <w:pPr>
        <w:spacing w:after="80" w:line="240" w:lineRule="auto"/>
        <w:ind w:left="567" w:hanging="567"/>
        <w:jc w:val="left"/>
      </w:pPr>
      <w:r>
        <w:rPr>
          <w:sz w:val="20"/>
          <w:szCs w:val="20"/>
        </w:rPr>
        <w:t xml:space="preserve">McCrory, E. J., Gerin, M. I., &amp; Viding, E. (2017). Annual research review: Childhood maltreatment, latent vulnerability and the shift to preventative psychiatry—The contribution of functional brain imaging. </w:t>
      </w:r>
      <w:r>
        <w:rPr>
          <w:i/>
          <w:iCs/>
          <w:sz w:val="20"/>
          <w:szCs w:val="20"/>
        </w:rPr>
        <w:t>Journal of Child Psychology and Psychiatry, 58</w:t>
      </w:r>
      <w:r>
        <w:rPr>
          <w:sz w:val="20"/>
          <w:szCs w:val="20"/>
        </w:rPr>
        <w:t>(4), 338–357. https://doi.org/10.1111/jcpp.12713</w:t>
      </w:r>
    </w:p>
    <w:p w14:paraId="3E1454ED" w14:textId="77777777" w:rsidR="00E63D5B" w:rsidRDefault="001F059D">
      <w:pPr>
        <w:spacing w:after="80" w:line="240" w:lineRule="auto"/>
        <w:ind w:left="567" w:hanging="567"/>
        <w:jc w:val="left"/>
      </w:pPr>
      <w:r>
        <w:rPr>
          <w:sz w:val="20"/>
          <w:szCs w:val="20"/>
        </w:rPr>
        <w:t xml:space="preserve">McFarlane, J., Fredland, N. M., Symes, L., Zhou, W., </w:t>
      </w:r>
      <w:proofErr w:type="spellStart"/>
      <w:r>
        <w:rPr>
          <w:sz w:val="20"/>
          <w:szCs w:val="20"/>
        </w:rPr>
        <w:t>Jouriles</w:t>
      </w:r>
      <w:proofErr w:type="spellEnd"/>
      <w:r>
        <w:rPr>
          <w:sz w:val="20"/>
          <w:szCs w:val="20"/>
        </w:rPr>
        <w:t xml:space="preserve">, E. N., Dutton, M. A., &amp; Greeley, C. S. (2017). The intergenerational impact of intimate partner violence against mothers on child functioning over four years. </w:t>
      </w:r>
      <w:r>
        <w:rPr>
          <w:i/>
          <w:iCs/>
          <w:sz w:val="20"/>
          <w:szCs w:val="20"/>
        </w:rPr>
        <w:t>Journal of Family Violence, 32</w:t>
      </w:r>
      <w:r>
        <w:rPr>
          <w:sz w:val="20"/>
          <w:szCs w:val="20"/>
        </w:rPr>
        <w:t>(7), 645–655. https://doi.org/10.1007/s10896-017-9913-8</w:t>
      </w:r>
    </w:p>
    <w:p w14:paraId="2D0AF079" w14:textId="77777777" w:rsidR="00E63D5B" w:rsidRDefault="001F059D">
      <w:pPr>
        <w:spacing w:after="80" w:line="240" w:lineRule="auto"/>
        <w:ind w:left="567" w:hanging="567"/>
        <w:jc w:val="left"/>
      </w:pPr>
      <w:r>
        <w:rPr>
          <w:sz w:val="20"/>
          <w:szCs w:val="20"/>
        </w:rPr>
        <w:t xml:space="preserve">McFarlane, J., Symes, L., Binder, B. K., Maddoux, J., &amp; Paulson, R. (2014). Maternal-child dyads of functioning: The intergenerational impact of violence against women on children. </w:t>
      </w:r>
      <w:r>
        <w:rPr>
          <w:i/>
          <w:iCs/>
          <w:sz w:val="20"/>
          <w:szCs w:val="20"/>
        </w:rPr>
        <w:t>Maternal and Child Health Journal, 18</w:t>
      </w:r>
      <w:r>
        <w:rPr>
          <w:sz w:val="20"/>
          <w:szCs w:val="20"/>
        </w:rPr>
        <w:t>(9), 2236–2243. https://doi.org/10.1007/s10995-014-1473-4</w:t>
      </w:r>
    </w:p>
    <w:p w14:paraId="17B82CC6" w14:textId="77777777" w:rsidR="00E63D5B" w:rsidRDefault="001F059D">
      <w:pPr>
        <w:spacing w:after="80" w:line="240" w:lineRule="auto"/>
        <w:ind w:left="567" w:hanging="567"/>
        <w:jc w:val="left"/>
      </w:pPr>
      <w:r>
        <w:rPr>
          <w:sz w:val="20"/>
          <w:szCs w:val="20"/>
        </w:rPr>
        <w:t>McLaughlin, K. A., Colich, N. L., Rodman, A. M., &amp; Weissman, D. G. (2020). Mechanisms linking childhood trauma exposure and psychopathology: a transdiagnostic model of risk and resilience. BMC medicine, 18(1), 96. https://doi.org/10.1186/s12916-020-01561-6</w:t>
      </w:r>
    </w:p>
    <w:p w14:paraId="0F9A611A" w14:textId="77777777" w:rsidR="00E63D5B" w:rsidRDefault="001F059D">
      <w:pPr>
        <w:spacing w:after="80" w:line="240" w:lineRule="auto"/>
        <w:ind w:left="567" w:hanging="567"/>
        <w:jc w:val="left"/>
      </w:pPr>
      <w:r>
        <w:rPr>
          <w:sz w:val="20"/>
          <w:szCs w:val="20"/>
        </w:rPr>
        <w:t xml:space="preserve">McPhail, B. A., Busch, N. B., Kulkarni, S., &amp; Rice, G. (2007). </w:t>
      </w:r>
      <w:r>
        <w:rPr>
          <w:i/>
          <w:iCs/>
          <w:sz w:val="20"/>
          <w:szCs w:val="20"/>
        </w:rPr>
        <w:t>An Integrative Feminist Model: The Evolving Feminist Perspective on Intimate Partner Violence</w:t>
      </w:r>
      <w:r>
        <w:rPr>
          <w:sz w:val="20"/>
          <w:szCs w:val="20"/>
        </w:rPr>
        <w:t>. Violence Against Women, 13(8), 817–841 https://pubmed.ncbi.nlm.nih.gov/17699113/</w:t>
      </w:r>
    </w:p>
    <w:p w14:paraId="308BECA0" w14:textId="77777777" w:rsidR="00E63D5B" w:rsidRDefault="001F059D">
      <w:pPr>
        <w:spacing w:after="80" w:line="240" w:lineRule="auto"/>
        <w:ind w:left="567" w:hanging="567"/>
        <w:jc w:val="left"/>
      </w:pPr>
      <w:proofErr w:type="spellStart"/>
      <w:r>
        <w:rPr>
          <w:sz w:val="20"/>
          <w:szCs w:val="20"/>
        </w:rPr>
        <w:t>Menjívar</w:t>
      </w:r>
      <w:proofErr w:type="spellEnd"/>
      <w:r>
        <w:rPr>
          <w:sz w:val="20"/>
          <w:szCs w:val="20"/>
        </w:rPr>
        <w:t>, C., &amp; Salcido, O. (2002). Immigrant women and domestic violence: Common experiences in different countries. Gender &amp; Society, 16(6), 898-920.</w:t>
      </w:r>
    </w:p>
    <w:p w14:paraId="03018939" w14:textId="77777777" w:rsidR="00E63D5B" w:rsidRDefault="001F059D">
      <w:pPr>
        <w:spacing w:after="80" w:line="240" w:lineRule="auto"/>
        <w:ind w:left="567" w:hanging="567"/>
        <w:jc w:val="left"/>
      </w:pPr>
      <w:r>
        <w:rPr>
          <w:sz w:val="20"/>
          <w:szCs w:val="20"/>
        </w:rPr>
        <w:t xml:space="preserve">Mercier, O., Fu, S. Y., Filler, R., Leclerc, A., Sampsel, K., Fournier, K., Walker, M., Wen, S. W., &amp; Muldoon, K. (2024). Interventions for intimate partner violence during the perinatal period: A scoping review. </w:t>
      </w:r>
      <w:r>
        <w:rPr>
          <w:i/>
          <w:iCs/>
          <w:sz w:val="20"/>
          <w:szCs w:val="20"/>
        </w:rPr>
        <w:t>Campbell Systematic Reviews, 20</w:t>
      </w:r>
      <w:r>
        <w:rPr>
          <w:sz w:val="20"/>
          <w:szCs w:val="20"/>
        </w:rPr>
        <w:t>(3), e1423. https://doi.org/10.1002/cl2.1423</w:t>
      </w:r>
    </w:p>
    <w:p w14:paraId="6CFA140A" w14:textId="77777777" w:rsidR="00E63D5B" w:rsidRDefault="001F059D">
      <w:pPr>
        <w:spacing w:after="80" w:line="240" w:lineRule="auto"/>
        <w:ind w:left="567" w:hanging="567"/>
        <w:jc w:val="left"/>
      </w:pPr>
      <w:r>
        <w:rPr>
          <w:sz w:val="20"/>
          <w:szCs w:val="20"/>
        </w:rPr>
        <w:t xml:space="preserve">Mikulincer, M., &amp; Shaver, P. R. (2007). </w:t>
      </w:r>
      <w:r>
        <w:rPr>
          <w:i/>
          <w:iCs/>
          <w:sz w:val="20"/>
          <w:szCs w:val="20"/>
        </w:rPr>
        <w:t>Attachment in adulthood: Structure, dynamics, and change</w:t>
      </w:r>
      <w:r>
        <w:rPr>
          <w:sz w:val="20"/>
          <w:szCs w:val="20"/>
        </w:rPr>
        <w:t>. The Guilford Press.</w:t>
      </w:r>
    </w:p>
    <w:p w14:paraId="50DFB6A6" w14:textId="77777777" w:rsidR="00E63D5B" w:rsidRDefault="001F059D">
      <w:pPr>
        <w:spacing w:after="80" w:line="240" w:lineRule="auto"/>
        <w:ind w:left="567" w:hanging="567"/>
        <w:jc w:val="left"/>
      </w:pPr>
      <w:r>
        <w:rPr>
          <w:sz w:val="20"/>
          <w:szCs w:val="20"/>
        </w:rPr>
        <w:t xml:space="preserve">Minuchin, S. (1974). </w:t>
      </w:r>
      <w:r>
        <w:rPr>
          <w:i/>
          <w:iCs/>
          <w:sz w:val="20"/>
          <w:szCs w:val="20"/>
        </w:rPr>
        <w:t>Families and family therapy</w:t>
      </w:r>
      <w:r>
        <w:rPr>
          <w:sz w:val="20"/>
          <w:szCs w:val="20"/>
        </w:rPr>
        <w:t>. Harvard University Press.</w:t>
      </w:r>
    </w:p>
    <w:p w14:paraId="316EE82E" w14:textId="77777777" w:rsidR="00E63D5B" w:rsidRDefault="001F059D">
      <w:pPr>
        <w:spacing w:after="80" w:line="240" w:lineRule="auto"/>
        <w:ind w:left="567" w:hanging="567"/>
        <w:jc w:val="left"/>
      </w:pPr>
      <w:r>
        <w:rPr>
          <w:sz w:val="20"/>
          <w:szCs w:val="20"/>
        </w:rPr>
        <w:t xml:space="preserve">Moody, G., Cannings-John, R., Hood, K., Kemp, A., &amp; Robling, M. (2018). Establishing the international prevalence of self-reported child maltreatment: a systematic review by maltreatment type and gender. </w:t>
      </w:r>
      <w:r>
        <w:rPr>
          <w:i/>
          <w:iCs/>
          <w:sz w:val="20"/>
          <w:szCs w:val="20"/>
        </w:rPr>
        <w:t>BMC public health</w:t>
      </w:r>
      <w:r>
        <w:rPr>
          <w:sz w:val="20"/>
          <w:szCs w:val="20"/>
        </w:rPr>
        <w:t xml:space="preserve">, </w:t>
      </w:r>
      <w:r>
        <w:rPr>
          <w:i/>
          <w:iCs/>
          <w:sz w:val="20"/>
          <w:szCs w:val="20"/>
        </w:rPr>
        <w:t>18</w:t>
      </w:r>
      <w:r>
        <w:rPr>
          <w:sz w:val="20"/>
          <w:szCs w:val="20"/>
        </w:rPr>
        <w:t>(1), 1164. https://doi.org/10.1186/s12889-018-6044-y</w:t>
      </w:r>
    </w:p>
    <w:p w14:paraId="06CDF971" w14:textId="77777777" w:rsidR="00E63D5B" w:rsidRDefault="001F059D">
      <w:pPr>
        <w:spacing w:after="80" w:line="240" w:lineRule="auto"/>
        <w:ind w:left="567" w:hanging="567"/>
        <w:jc w:val="left"/>
      </w:pPr>
      <w:r>
        <w:rPr>
          <w:sz w:val="20"/>
          <w:szCs w:val="20"/>
        </w:rPr>
        <w:t xml:space="preserve">Morris, </w:t>
      </w:r>
      <w:proofErr w:type="gramStart"/>
      <w:r>
        <w:rPr>
          <w:sz w:val="20"/>
          <w:szCs w:val="20"/>
        </w:rPr>
        <w:t>A. M</w:t>
      </w:r>
      <w:proofErr w:type="gramEnd"/>
      <w:r>
        <w:rPr>
          <w:sz w:val="20"/>
          <w:szCs w:val="20"/>
        </w:rPr>
        <w:t xml:space="preserve">., Mrug, S., &amp; Windle, M. (2015). From family violence to dating violence: Testing a dual pathway model. </w:t>
      </w:r>
      <w:r>
        <w:rPr>
          <w:i/>
          <w:iCs/>
          <w:sz w:val="20"/>
          <w:szCs w:val="20"/>
        </w:rPr>
        <w:t>Journal of Youth and Adolescence, 44</w:t>
      </w:r>
      <w:r>
        <w:rPr>
          <w:sz w:val="20"/>
          <w:szCs w:val="20"/>
        </w:rPr>
        <w:t>(9), 1819–1835. https://doi.org/10.1007/s10964-015-0328-7</w:t>
      </w:r>
    </w:p>
    <w:p w14:paraId="26E71787" w14:textId="77777777" w:rsidR="00E63D5B" w:rsidRDefault="001F059D">
      <w:pPr>
        <w:spacing w:after="80" w:line="240" w:lineRule="auto"/>
        <w:ind w:left="567" w:hanging="567"/>
        <w:jc w:val="left"/>
      </w:pPr>
      <w:r>
        <w:rPr>
          <w:sz w:val="20"/>
          <w:szCs w:val="20"/>
        </w:rPr>
        <w:t xml:space="preserve">Morrison, A.M., Campbell, J.K., Sharpless, L., &amp; Martin, L. (2024). Intimate Partner Violence and Immigration in the United States: A Systematic Review, </w:t>
      </w:r>
      <w:r>
        <w:rPr>
          <w:i/>
          <w:iCs/>
          <w:sz w:val="20"/>
          <w:szCs w:val="20"/>
        </w:rPr>
        <w:t>TRAUMA, VIOLENCE, &amp; ABUSE</w:t>
      </w:r>
      <w:r>
        <w:rPr>
          <w:sz w:val="20"/>
          <w:szCs w:val="20"/>
        </w:rPr>
        <w:t xml:space="preserve"> Vol. 25(1) 846–861 https://doi.org/10.1177/15248380231165690</w:t>
      </w:r>
    </w:p>
    <w:p w14:paraId="0A7E67B8" w14:textId="77777777" w:rsidR="00E63D5B" w:rsidRDefault="001F059D">
      <w:pPr>
        <w:spacing w:after="80" w:line="240" w:lineRule="auto"/>
        <w:ind w:left="567" w:hanging="567"/>
        <w:jc w:val="left"/>
      </w:pPr>
      <w:r>
        <w:rPr>
          <w:sz w:val="20"/>
          <w:szCs w:val="20"/>
        </w:rPr>
        <w:t xml:space="preserve">Mushonga, D. R., Rasheem, S., &amp; Anderson, D. (2021). </w:t>
      </w:r>
      <w:r>
        <w:rPr>
          <w:i/>
          <w:iCs/>
          <w:sz w:val="20"/>
          <w:szCs w:val="20"/>
        </w:rPr>
        <w:t>And Still I Rise: Resilience Factors Contributing to Posttraumatic Growth in African American Women.</w:t>
      </w:r>
      <w:r>
        <w:rPr>
          <w:sz w:val="20"/>
          <w:szCs w:val="20"/>
        </w:rPr>
        <w:t xml:space="preserve"> Journal of Black Psychology, 47(2–3), 151–176. https://doi.org/10.1177/0095798420979805</w:t>
      </w:r>
    </w:p>
    <w:p w14:paraId="2E5DB0DF" w14:textId="77777777" w:rsidR="000956C9" w:rsidRDefault="00F56A84">
      <w:pPr>
        <w:spacing w:after="80" w:line="240" w:lineRule="auto"/>
        <w:ind w:left="567" w:hanging="567"/>
        <w:jc w:val="left"/>
      </w:pPr>
      <w:r>
        <w:rPr>
          <w:sz w:val="20"/>
          <w:szCs w:val="20"/>
        </w:rPr>
        <w:t xml:space="preserve">Muzik, M., Rosenblum, K. L., Alfafara, E. A., Schuster, M. M., Miller, N. M., Waddell, R. M., &amp; Kohler, E. S. (2015). Mom Power: Preliminary outcomes of a group intervention to improve mental health and parenting among high-risk mothers. </w:t>
      </w:r>
      <w:r>
        <w:rPr>
          <w:i/>
          <w:iCs/>
          <w:sz w:val="20"/>
          <w:szCs w:val="20"/>
        </w:rPr>
        <w:t>Archives of Women’s Mental Health, 18</w:t>
      </w:r>
      <w:r>
        <w:rPr>
          <w:sz w:val="20"/>
          <w:szCs w:val="20"/>
        </w:rPr>
        <w:t>, 507–521.</w:t>
      </w:r>
    </w:p>
    <w:p w14:paraId="5B57293C" w14:textId="77777777" w:rsidR="00E63D5B" w:rsidRDefault="001F059D">
      <w:pPr>
        <w:spacing w:after="80" w:line="240" w:lineRule="auto"/>
        <w:ind w:left="567" w:hanging="567"/>
        <w:jc w:val="left"/>
      </w:pPr>
      <w:proofErr w:type="spellStart"/>
      <w:r>
        <w:rPr>
          <w:sz w:val="20"/>
          <w:szCs w:val="20"/>
        </w:rPr>
        <w:t>Mystakidou</w:t>
      </w:r>
      <w:proofErr w:type="spellEnd"/>
      <w:r>
        <w:rPr>
          <w:sz w:val="20"/>
          <w:szCs w:val="20"/>
        </w:rPr>
        <w:t xml:space="preserve">, K., </w:t>
      </w:r>
      <w:proofErr w:type="spellStart"/>
      <w:r>
        <w:rPr>
          <w:sz w:val="20"/>
          <w:szCs w:val="20"/>
        </w:rPr>
        <w:t>Tsilika</w:t>
      </w:r>
      <w:proofErr w:type="spellEnd"/>
      <w:r>
        <w:rPr>
          <w:sz w:val="20"/>
          <w:szCs w:val="20"/>
        </w:rPr>
        <w:t xml:space="preserve">, E., </w:t>
      </w:r>
      <w:proofErr w:type="spellStart"/>
      <w:r>
        <w:rPr>
          <w:sz w:val="20"/>
          <w:szCs w:val="20"/>
        </w:rPr>
        <w:t>Parpa</w:t>
      </w:r>
      <w:proofErr w:type="spellEnd"/>
      <w:r>
        <w:rPr>
          <w:sz w:val="20"/>
          <w:szCs w:val="20"/>
        </w:rPr>
        <w:t xml:space="preserve">, E., Galanos, A., &amp; Vlahos, L. (2008). Post-traumatic growth in advanced cancer patients receiving palliative care. </w:t>
      </w:r>
      <w:r>
        <w:rPr>
          <w:i/>
          <w:iCs/>
          <w:sz w:val="20"/>
          <w:szCs w:val="20"/>
        </w:rPr>
        <w:t>British Journal of Health Psychology, 13</w:t>
      </w:r>
      <w:r>
        <w:rPr>
          <w:sz w:val="20"/>
          <w:szCs w:val="20"/>
        </w:rPr>
        <w:t>(4), 633–646. https://doi.org/10.1348/135910707X246177</w:t>
      </w:r>
    </w:p>
    <w:p w14:paraId="39D5D4EA" w14:textId="77777777" w:rsidR="00E63D5B" w:rsidRDefault="001F059D">
      <w:pPr>
        <w:spacing w:after="80" w:line="240" w:lineRule="auto"/>
        <w:ind w:left="567" w:hanging="567"/>
        <w:jc w:val="left"/>
      </w:pPr>
      <w:proofErr w:type="spellStart"/>
      <w:r>
        <w:rPr>
          <w:sz w:val="20"/>
          <w:szCs w:val="20"/>
        </w:rPr>
        <w:t>Najavits</w:t>
      </w:r>
      <w:proofErr w:type="spellEnd"/>
      <w:r>
        <w:rPr>
          <w:sz w:val="20"/>
          <w:szCs w:val="20"/>
        </w:rPr>
        <w:t xml:space="preserve">, L. M., Sonn, J., Walsh, M., &amp; Weiss, R. D. (2004). </w:t>
      </w:r>
      <w:r>
        <w:rPr>
          <w:i/>
          <w:iCs/>
          <w:sz w:val="20"/>
          <w:szCs w:val="20"/>
        </w:rPr>
        <w:t>Domestic Violence in Women with PTSD and Substance Abuse</w:t>
      </w:r>
      <w:r>
        <w:rPr>
          <w:sz w:val="20"/>
          <w:szCs w:val="20"/>
        </w:rPr>
        <w:t>. Addictive Behaviors, 29(4), 707–715. https://doi.org/10.1016/j.addbeh.2004.01.003</w:t>
      </w:r>
    </w:p>
    <w:p w14:paraId="5B55E0FC" w14:textId="77777777" w:rsidR="00E63D5B" w:rsidRDefault="001F059D">
      <w:pPr>
        <w:spacing w:after="80" w:line="240" w:lineRule="auto"/>
        <w:ind w:left="567" w:hanging="567"/>
        <w:jc w:val="left"/>
      </w:pPr>
      <w:r>
        <w:rPr>
          <w:sz w:val="20"/>
          <w:szCs w:val="20"/>
        </w:rPr>
        <w:t>Narayan, A. J., Englund, M. M., &amp; Egeland, B. (2013). Developmental timing and continuity of exposure to interparental violence and externalizing behavior as prospective predictors of dating violence. Development and psychopathology, 25(4 Pt 1), 973–990. https://doi.org/10.1017/S095457941300031X</w:t>
      </w:r>
    </w:p>
    <w:p w14:paraId="08A5046F" w14:textId="77777777" w:rsidR="00E63D5B" w:rsidRDefault="001F059D">
      <w:pPr>
        <w:spacing w:after="80" w:line="240" w:lineRule="auto"/>
        <w:ind w:left="567" w:hanging="567"/>
        <w:jc w:val="left"/>
      </w:pPr>
      <w:r>
        <w:rPr>
          <w:sz w:val="20"/>
          <w:szCs w:val="20"/>
        </w:rPr>
        <w:t xml:space="preserve">Narayan, A. J., Lieberman, A. F., &amp; Masten, A. S. (2021). Intergenerational transmission and prevention of adverse childhood experiences (ACEs). </w:t>
      </w:r>
      <w:r>
        <w:rPr>
          <w:i/>
          <w:iCs/>
          <w:sz w:val="20"/>
          <w:szCs w:val="20"/>
        </w:rPr>
        <w:t>Clinical Psychology Review, 85</w:t>
      </w:r>
      <w:r>
        <w:rPr>
          <w:sz w:val="20"/>
          <w:szCs w:val="20"/>
        </w:rPr>
        <w:t>, 101997. https://doi.org/10.1016/j.cpr.2021.101997</w:t>
      </w:r>
    </w:p>
    <w:p w14:paraId="3DA7C47B" w14:textId="77777777" w:rsidR="00E63D5B" w:rsidRDefault="001F059D">
      <w:pPr>
        <w:spacing w:after="80" w:line="240" w:lineRule="auto"/>
        <w:ind w:left="567" w:hanging="567"/>
        <w:jc w:val="left"/>
      </w:pPr>
      <w:r>
        <w:rPr>
          <w:sz w:val="20"/>
          <w:szCs w:val="20"/>
        </w:rPr>
        <w:lastRenderedPageBreak/>
        <w:t xml:space="preserve">Niclasen, J., Teasdale, T. W., Andersen, A. M., Skovgaard, A. M., Elberling, H., &amp; Obel, C. (2012). Psychometric properties of the Danish Strength and Difficulties Questionnaire: the SDQ assessed for more than 70,000 raters in four different cohorts. </w:t>
      </w:r>
      <w:proofErr w:type="spellStart"/>
      <w:r>
        <w:rPr>
          <w:i/>
          <w:iCs/>
          <w:sz w:val="20"/>
          <w:szCs w:val="20"/>
        </w:rPr>
        <w:t>PloS</w:t>
      </w:r>
      <w:proofErr w:type="spellEnd"/>
      <w:r>
        <w:rPr>
          <w:i/>
          <w:iCs/>
          <w:sz w:val="20"/>
          <w:szCs w:val="20"/>
        </w:rPr>
        <w:t xml:space="preserve"> one</w:t>
      </w:r>
      <w:r>
        <w:rPr>
          <w:sz w:val="20"/>
          <w:szCs w:val="20"/>
        </w:rPr>
        <w:t xml:space="preserve">, </w:t>
      </w:r>
      <w:r>
        <w:rPr>
          <w:i/>
          <w:iCs/>
          <w:sz w:val="20"/>
          <w:szCs w:val="20"/>
        </w:rPr>
        <w:t>7</w:t>
      </w:r>
      <w:r>
        <w:rPr>
          <w:sz w:val="20"/>
          <w:szCs w:val="20"/>
        </w:rPr>
        <w:t>(2), e32025. https://doi.org/10.1371/journal.pone.0032025</w:t>
      </w:r>
    </w:p>
    <w:p w14:paraId="68297853" w14:textId="77777777" w:rsidR="00E63D5B" w:rsidRPr="00132066" w:rsidRDefault="001F059D">
      <w:pPr>
        <w:spacing w:after="80" w:line="240" w:lineRule="auto"/>
        <w:ind w:left="567" w:hanging="567"/>
        <w:jc w:val="left"/>
        <w:rPr>
          <w:lang w:val="el-GR"/>
        </w:rPr>
      </w:pPr>
      <w:r>
        <w:rPr>
          <w:sz w:val="20"/>
          <w:szCs w:val="20"/>
        </w:rPr>
        <w:t xml:space="preserve">Office of the United Nations High Commissioner for Human Rights. (n.d.). </w:t>
      </w:r>
      <w:r>
        <w:rPr>
          <w:i/>
          <w:iCs/>
          <w:sz w:val="20"/>
          <w:szCs w:val="20"/>
        </w:rPr>
        <w:t>Child, early and forced marriage, including in humanitarian settings</w:t>
      </w:r>
      <w:r>
        <w:rPr>
          <w:sz w:val="20"/>
          <w:szCs w:val="20"/>
        </w:rPr>
        <w:t xml:space="preserve">. </w:t>
      </w:r>
      <w:r>
        <w:rPr>
          <w:sz w:val="20"/>
          <w:szCs w:val="20"/>
          <w:lang w:val="el-GR"/>
        </w:rPr>
        <w:t xml:space="preserve">Ανακτήθηκε από </w:t>
      </w:r>
      <w:r>
        <w:rPr>
          <w:sz w:val="20"/>
          <w:szCs w:val="20"/>
        </w:rPr>
        <w:t>https</w:t>
      </w:r>
      <w:r w:rsidRPr="000B7AA5">
        <w:rPr>
          <w:sz w:val="20"/>
          <w:szCs w:val="20"/>
          <w:lang w:val="el-GR"/>
        </w:rPr>
        <w:t>://</w:t>
      </w:r>
      <w:r>
        <w:rPr>
          <w:sz w:val="20"/>
          <w:szCs w:val="20"/>
        </w:rPr>
        <w:t>www</w:t>
      </w:r>
      <w:r w:rsidRPr="000B7AA5">
        <w:rPr>
          <w:sz w:val="20"/>
          <w:szCs w:val="20"/>
          <w:lang w:val="el-GR"/>
        </w:rPr>
        <w:t>.</w:t>
      </w:r>
      <w:proofErr w:type="spellStart"/>
      <w:r>
        <w:rPr>
          <w:sz w:val="20"/>
          <w:szCs w:val="20"/>
        </w:rPr>
        <w:t>ohchr</w:t>
      </w:r>
      <w:proofErr w:type="spellEnd"/>
      <w:r w:rsidRPr="000B7AA5">
        <w:rPr>
          <w:sz w:val="20"/>
          <w:szCs w:val="20"/>
          <w:lang w:val="el-GR"/>
        </w:rPr>
        <w:t>.</w:t>
      </w:r>
      <w:r>
        <w:rPr>
          <w:sz w:val="20"/>
          <w:szCs w:val="20"/>
        </w:rPr>
        <w:t>org</w:t>
      </w:r>
      <w:r w:rsidRPr="000B7AA5">
        <w:rPr>
          <w:sz w:val="20"/>
          <w:szCs w:val="20"/>
          <w:lang w:val="el-GR"/>
        </w:rPr>
        <w:t>/</w:t>
      </w:r>
      <w:proofErr w:type="spellStart"/>
      <w:r>
        <w:rPr>
          <w:sz w:val="20"/>
          <w:szCs w:val="20"/>
        </w:rPr>
        <w:t>en</w:t>
      </w:r>
      <w:proofErr w:type="spellEnd"/>
      <w:r w:rsidRPr="000B7AA5">
        <w:rPr>
          <w:sz w:val="20"/>
          <w:szCs w:val="20"/>
          <w:lang w:val="el-GR"/>
        </w:rPr>
        <w:t>/</w:t>
      </w:r>
      <w:r>
        <w:rPr>
          <w:sz w:val="20"/>
          <w:szCs w:val="20"/>
        </w:rPr>
        <w:t>women</w:t>
      </w:r>
      <w:r w:rsidRPr="000B7AA5">
        <w:rPr>
          <w:sz w:val="20"/>
          <w:szCs w:val="20"/>
          <w:lang w:val="el-GR"/>
        </w:rPr>
        <w:t>/</w:t>
      </w:r>
      <w:r>
        <w:rPr>
          <w:sz w:val="20"/>
          <w:szCs w:val="20"/>
        </w:rPr>
        <w:t>child</w:t>
      </w:r>
      <w:r w:rsidRPr="000B7AA5">
        <w:rPr>
          <w:sz w:val="20"/>
          <w:szCs w:val="20"/>
          <w:lang w:val="el-GR"/>
        </w:rPr>
        <w:t>-</w:t>
      </w:r>
      <w:r>
        <w:rPr>
          <w:sz w:val="20"/>
          <w:szCs w:val="20"/>
        </w:rPr>
        <w:t>early</w:t>
      </w:r>
      <w:r w:rsidRPr="000B7AA5">
        <w:rPr>
          <w:sz w:val="20"/>
          <w:szCs w:val="20"/>
          <w:lang w:val="el-GR"/>
        </w:rPr>
        <w:t>-</w:t>
      </w:r>
      <w:r>
        <w:rPr>
          <w:sz w:val="20"/>
          <w:szCs w:val="20"/>
        </w:rPr>
        <w:t>and</w:t>
      </w:r>
      <w:r w:rsidRPr="000B7AA5">
        <w:rPr>
          <w:sz w:val="20"/>
          <w:szCs w:val="20"/>
          <w:lang w:val="el-GR"/>
        </w:rPr>
        <w:t>-</w:t>
      </w:r>
      <w:r>
        <w:rPr>
          <w:sz w:val="20"/>
          <w:szCs w:val="20"/>
        </w:rPr>
        <w:t>forced</w:t>
      </w:r>
      <w:r w:rsidRPr="000B7AA5">
        <w:rPr>
          <w:sz w:val="20"/>
          <w:szCs w:val="20"/>
          <w:lang w:val="el-GR"/>
        </w:rPr>
        <w:t>-</w:t>
      </w:r>
      <w:r>
        <w:rPr>
          <w:sz w:val="20"/>
          <w:szCs w:val="20"/>
        </w:rPr>
        <w:t>marriage</w:t>
      </w:r>
      <w:r w:rsidRPr="000B7AA5">
        <w:rPr>
          <w:sz w:val="20"/>
          <w:szCs w:val="20"/>
          <w:lang w:val="el-GR"/>
        </w:rPr>
        <w:t>-</w:t>
      </w:r>
      <w:r>
        <w:rPr>
          <w:sz w:val="20"/>
          <w:szCs w:val="20"/>
        </w:rPr>
        <w:t>including</w:t>
      </w:r>
      <w:r w:rsidRPr="000B7AA5">
        <w:rPr>
          <w:sz w:val="20"/>
          <w:szCs w:val="20"/>
          <w:lang w:val="el-GR"/>
        </w:rPr>
        <w:t>-</w:t>
      </w:r>
      <w:r>
        <w:rPr>
          <w:sz w:val="20"/>
          <w:szCs w:val="20"/>
        </w:rPr>
        <w:t>humanitarian</w:t>
      </w:r>
      <w:r w:rsidRPr="000B7AA5">
        <w:rPr>
          <w:sz w:val="20"/>
          <w:szCs w:val="20"/>
          <w:lang w:val="el-GR"/>
        </w:rPr>
        <w:t>-</w:t>
      </w:r>
      <w:r>
        <w:rPr>
          <w:sz w:val="20"/>
          <w:szCs w:val="20"/>
        </w:rPr>
        <w:t>settings</w:t>
      </w:r>
    </w:p>
    <w:p w14:paraId="19F9F999" w14:textId="77777777" w:rsidR="00E63D5B" w:rsidRDefault="001F059D">
      <w:pPr>
        <w:spacing w:after="80" w:line="240" w:lineRule="auto"/>
        <w:ind w:left="567" w:hanging="567"/>
        <w:jc w:val="left"/>
      </w:pPr>
      <w:r>
        <w:rPr>
          <w:sz w:val="20"/>
          <w:szCs w:val="20"/>
        </w:rPr>
        <w:t xml:space="preserve">Orovou, E., Theodoropoulou, I. M., &amp; Antoniou, E. (2021). Psychometric properties of the Post Traumatic Stress Disorder Checklist for DSM-5 (PCL-5) in Greek women after cesarean section. </w:t>
      </w:r>
      <w:proofErr w:type="spellStart"/>
      <w:r>
        <w:rPr>
          <w:i/>
          <w:iCs/>
          <w:sz w:val="20"/>
          <w:szCs w:val="20"/>
        </w:rPr>
        <w:t>PLoS</w:t>
      </w:r>
      <w:proofErr w:type="spellEnd"/>
      <w:r>
        <w:rPr>
          <w:i/>
          <w:iCs/>
          <w:sz w:val="20"/>
          <w:szCs w:val="20"/>
        </w:rPr>
        <w:t xml:space="preserve"> ONE, 16</w:t>
      </w:r>
      <w:r>
        <w:rPr>
          <w:sz w:val="20"/>
          <w:szCs w:val="20"/>
        </w:rPr>
        <w:t>(8), e0255689. https://doi.org/10.1371/journal.pone.0255689</w:t>
      </w:r>
    </w:p>
    <w:p w14:paraId="25E91636" w14:textId="77777777" w:rsidR="00E63D5B" w:rsidRDefault="001F059D">
      <w:pPr>
        <w:spacing w:after="80" w:line="240" w:lineRule="auto"/>
        <w:ind w:left="567" w:hanging="567"/>
        <w:jc w:val="left"/>
      </w:pPr>
      <w:r>
        <w:rPr>
          <w:sz w:val="20"/>
          <w:szCs w:val="20"/>
        </w:rPr>
        <w:t xml:space="preserve">Osborne, K.-L., Munasinghe, S., &amp; Page, A. (2025). </w:t>
      </w:r>
      <w:r>
        <w:rPr>
          <w:i/>
          <w:iCs/>
          <w:sz w:val="20"/>
          <w:szCs w:val="20"/>
        </w:rPr>
        <w:t>The Intergenerational Transmission of Emotional Intimate Partner Violence: A Systematic Review and Meta-Analysis.</w:t>
      </w:r>
      <w:r>
        <w:rPr>
          <w:sz w:val="20"/>
          <w:szCs w:val="20"/>
        </w:rPr>
        <w:t xml:space="preserve"> Journal of Family Violence. https://doi.org/10.1007/s10896-025-00871-8</w:t>
      </w:r>
    </w:p>
    <w:p w14:paraId="7A05CEDC" w14:textId="77777777" w:rsidR="00E63D5B" w:rsidRDefault="001F059D">
      <w:pPr>
        <w:spacing w:after="80" w:line="240" w:lineRule="auto"/>
        <w:ind w:left="567" w:hanging="567"/>
        <w:jc w:val="left"/>
      </w:pPr>
      <w:proofErr w:type="spellStart"/>
      <w:r>
        <w:rPr>
          <w:sz w:val="20"/>
          <w:szCs w:val="20"/>
        </w:rPr>
        <w:t>Papadakaki</w:t>
      </w:r>
      <w:proofErr w:type="spellEnd"/>
      <w:r>
        <w:rPr>
          <w:sz w:val="20"/>
          <w:szCs w:val="20"/>
        </w:rPr>
        <w:t xml:space="preserve">, M., Tzamalouka, G. S., </w:t>
      </w:r>
      <w:proofErr w:type="spellStart"/>
      <w:r>
        <w:rPr>
          <w:sz w:val="20"/>
          <w:szCs w:val="20"/>
        </w:rPr>
        <w:t>Chatzifotiou</w:t>
      </w:r>
      <w:proofErr w:type="spellEnd"/>
      <w:r>
        <w:rPr>
          <w:sz w:val="20"/>
          <w:szCs w:val="20"/>
        </w:rPr>
        <w:t xml:space="preserve">, S., &amp; </w:t>
      </w:r>
      <w:proofErr w:type="spellStart"/>
      <w:r>
        <w:rPr>
          <w:sz w:val="20"/>
          <w:szCs w:val="20"/>
        </w:rPr>
        <w:t>Chliaoutakis</w:t>
      </w:r>
      <w:proofErr w:type="spellEnd"/>
      <w:r>
        <w:rPr>
          <w:sz w:val="20"/>
          <w:szCs w:val="20"/>
        </w:rPr>
        <w:t xml:space="preserve">, J. (2009). Seeking for risk factors of intimate partner violence (IPV) in a Greek national sample: The role of self-esteem. </w:t>
      </w:r>
      <w:r>
        <w:rPr>
          <w:i/>
          <w:iCs/>
          <w:sz w:val="20"/>
          <w:szCs w:val="20"/>
        </w:rPr>
        <w:t>Journal of Interpersonal Violence, 24</w:t>
      </w:r>
      <w:r>
        <w:rPr>
          <w:sz w:val="20"/>
          <w:szCs w:val="20"/>
        </w:rPr>
        <w:t>(5), 732–750. https://doi.org/10.1177/0886260508317181</w:t>
      </w:r>
    </w:p>
    <w:p w14:paraId="4BDDC56F" w14:textId="77777777" w:rsidR="00E63D5B" w:rsidRDefault="001F059D">
      <w:pPr>
        <w:spacing w:after="80" w:line="240" w:lineRule="auto"/>
        <w:ind w:left="567" w:hanging="567"/>
        <w:jc w:val="left"/>
      </w:pPr>
      <w:r>
        <w:rPr>
          <w:sz w:val="20"/>
          <w:szCs w:val="20"/>
        </w:rPr>
        <w:t xml:space="preserve">Parker, G. (1990). The Parental Bonding Instrument: A decade of research. </w:t>
      </w:r>
      <w:r>
        <w:rPr>
          <w:i/>
          <w:iCs/>
          <w:sz w:val="20"/>
          <w:szCs w:val="20"/>
        </w:rPr>
        <w:t>Social Psychiatry and Psychiatric Epidemiology, 25</w:t>
      </w:r>
      <w:r>
        <w:rPr>
          <w:sz w:val="20"/>
          <w:szCs w:val="20"/>
        </w:rPr>
        <w:t>(6), 281–282. https://doi.org/10.1007/BF00782881</w:t>
      </w:r>
    </w:p>
    <w:p w14:paraId="15EC0260" w14:textId="77777777" w:rsidR="00E63D5B" w:rsidRDefault="001F059D">
      <w:pPr>
        <w:spacing w:after="80" w:line="240" w:lineRule="auto"/>
        <w:ind w:left="567" w:hanging="567"/>
        <w:jc w:val="left"/>
      </w:pPr>
      <w:r>
        <w:rPr>
          <w:sz w:val="20"/>
          <w:szCs w:val="20"/>
        </w:rPr>
        <w:t xml:space="preserve">Peitzmeier, S. M., Malik, M., </w:t>
      </w:r>
      <w:proofErr w:type="spellStart"/>
      <w:r>
        <w:rPr>
          <w:sz w:val="20"/>
          <w:szCs w:val="20"/>
        </w:rPr>
        <w:t>Kattari</w:t>
      </w:r>
      <w:proofErr w:type="spellEnd"/>
      <w:r>
        <w:rPr>
          <w:sz w:val="20"/>
          <w:szCs w:val="20"/>
        </w:rPr>
        <w:t xml:space="preserve">, S. K., Marrow, E., Stephenson, R., Agénor, M., &amp; Reisner, S. L. (2020). </w:t>
      </w:r>
      <w:r>
        <w:rPr>
          <w:i/>
          <w:iCs/>
          <w:sz w:val="20"/>
          <w:szCs w:val="20"/>
        </w:rPr>
        <w:t>Intimate Partner Violence in Transgender Populations: Systematic Review and Meta-analysis of Prevalence and Correlates</w:t>
      </w:r>
      <w:r>
        <w:rPr>
          <w:sz w:val="20"/>
          <w:szCs w:val="20"/>
        </w:rPr>
        <w:t>. American Journal of Public Health, 110(9), e1–e14. https://doi.org/10.2105/AJPH.2020.305774</w:t>
      </w:r>
    </w:p>
    <w:p w14:paraId="1A23E88E" w14:textId="77777777" w:rsidR="00E63D5B" w:rsidRDefault="001F059D">
      <w:pPr>
        <w:spacing w:after="80" w:line="240" w:lineRule="auto"/>
        <w:ind w:left="567" w:hanging="567"/>
        <w:jc w:val="left"/>
      </w:pPr>
      <w:r>
        <w:rPr>
          <w:sz w:val="20"/>
          <w:szCs w:val="20"/>
        </w:rPr>
        <w:t xml:space="preserve">Pence, E., &amp; </w:t>
      </w:r>
      <w:proofErr w:type="spellStart"/>
      <w:r>
        <w:rPr>
          <w:sz w:val="20"/>
          <w:szCs w:val="20"/>
        </w:rPr>
        <w:t>Paymar</w:t>
      </w:r>
      <w:proofErr w:type="spellEnd"/>
      <w:r>
        <w:rPr>
          <w:sz w:val="20"/>
          <w:szCs w:val="20"/>
        </w:rPr>
        <w:t xml:space="preserve">, M. (1993). </w:t>
      </w:r>
      <w:r>
        <w:rPr>
          <w:i/>
          <w:iCs/>
          <w:sz w:val="20"/>
          <w:szCs w:val="20"/>
        </w:rPr>
        <w:t>Education groups for men who batter: The Duluth model</w:t>
      </w:r>
      <w:r>
        <w:rPr>
          <w:sz w:val="20"/>
          <w:szCs w:val="20"/>
        </w:rPr>
        <w:t>. Springer.</w:t>
      </w:r>
    </w:p>
    <w:p w14:paraId="6E9D5498" w14:textId="77777777" w:rsidR="00E63D5B" w:rsidRDefault="001F059D">
      <w:pPr>
        <w:spacing w:after="80" w:line="240" w:lineRule="auto"/>
        <w:ind w:left="567" w:hanging="567"/>
        <w:jc w:val="left"/>
      </w:pPr>
      <w:r>
        <w:rPr>
          <w:sz w:val="20"/>
          <w:szCs w:val="20"/>
        </w:rPr>
        <w:t xml:space="preserve">Perrin, S., Meiser-Stedman, R., &amp; Smith, P. (2005). The Children’s Revised Impact of Event Scale (CRIES): Validity as a screening instrument for PTSD. </w:t>
      </w:r>
      <w:proofErr w:type="spellStart"/>
      <w:r>
        <w:rPr>
          <w:i/>
          <w:iCs/>
          <w:sz w:val="20"/>
          <w:szCs w:val="20"/>
        </w:rPr>
        <w:t>Behavioural</w:t>
      </w:r>
      <w:proofErr w:type="spellEnd"/>
      <w:r>
        <w:rPr>
          <w:i/>
          <w:iCs/>
          <w:sz w:val="20"/>
          <w:szCs w:val="20"/>
        </w:rPr>
        <w:t xml:space="preserve"> and Cognitive Psychotherapy, 33</w:t>
      </w:r>
      <w:r>
        <w:rPr>
          <w:sz w:val="20"/>
          <w:szCs w:val="20"/>
        </w:rPr>
        <w:t>(4), 487–498. https://doi.org/10.1017/S1352465805002419</w:t>
      </w:r>
    </w:p>
    <w:p w14:paraId="24C33039" w14:textId="77777777" w:rsidR="00E63D5B" w:rsidRDefault="001F059D">
      <w:pPr>
        <w:spacing w:after="80" w:line="240" w:lineRule="auto"/>
        <w:ind w:left="567" w:hanging="567"/>
        <w:jc w:val="left"/>
      </w:pPr>
      <w:r>
        <w:rPr>
          <w:sz w:val="20"/>
          <w:szCs w:val="20"/>
        </w:rPr>
        <w:t xml:space="preserve">Pill, N., Day, A., &amp; Mildred, H. (2017). Trauma responses to intimate partner violence. </w:t>
      </w:r>
      <w:r>
        <w:rPr>
          <w:i/>
          <w:iCs/>
          <w:sz w:val="20"/>
          <w:szCs w:val="20"/>
        </w:rPr>
        <w:t>Aggression and Violent Behavior, 34</w:t>
      </w:r>
      <w:r>
        <w:rPr>
          <w:sz w:val="20"/>
          <w:szCs w:val="20"/>
        </w:rPr>
        <w:t>, 178–184.</w:t>
      </w:r>
    </w:p>
    <w:p w14:paraId="6F1DCED9" w14:textId="77777777" w:rsidR="00E63D5B" w:rsidRDefault="001F059D">
      <w:pPr>
        <w:spacing w:after="80" w:line="240" w:lineRule="auto"/>
        <w:ind w:left="567" w:hanging="567"/>
        <w:jc w:val="left"/>
      </w:pPr>
      <w:r>
        <w:rPr>
          <w:sz w:val="20"/>
          <w:szCs w:val="20"/>
        </w:rPr>
        <w:t xml:space="preserve">Postmus, J. L., Plummer, S.-B., McMahon, S., Murshid, N. S., &amp; Kim, M. S. (2012). </w:t>
      </w:r>
      <w:r>
        <w:rPr>
          <w:i/>
          <w:iCs/>
          <w:sz w:val="20"/>
          <w:szCs w:val="20"/>
        </w:rPr>
        <w:t>Understanding Economic Abuse in the Lives of Survivors</w:t>
      </w:r>
      <w:r>
        <w:rPr>
          <w:sz w:val="20"/>
          <w:szCs w:val="20"/>
        </w:rPr>
        <w:t>. Journal of Interpersonal Violence</w:t>
      </w:r>
      <w:r>
        <w:rPr>
          <w:i/>
          <w:iCs/>
          <w:sz w:val="20"/>
          <w:szCs w:val="20"/>
        </w:rPr>
        <w:t>, 27</w:t>
      </w:r>
      <w:r>
        <w:rPr>
          <w:sz w:val="20"/>
          <w:szCs w:val="20"/>
        </w:rPr>
        <w:t>(3), 411–430. https://doi.org/10.1177/0886260511421669</w:t>
      </w:r>
    </w:p>
    <w:p w14:paraId="65955A5C" w14:textId="77777777" w:rsidR="00E63D5B" w:rsidRDefault="001F059D">
      <w:pPr>
        <w:spacing w:after="80" w:line="240" w:lineRule="auto"/>
        <w:ind w:left="567" w:hanging="567"/>
        <w:jc w:val="left"/>
      </w:pPr>
      <w:r>
        <w:rPr>
          <w:sz w:val="20"/>
          <w:szCs w:val="20"/>
        </w:rPr>
        <w:t>Potter, L. C., Morris, R., Hegarty, K., García-Moreno, C., &amp; Feder, G. (2021). Categories and health impacts of intimate partner violence in the World Health Organization multi-country study on women's health and domestic violence. International journal of epidemiology, 50(2), 652–662. https://doi.org/10.1093/ije/dyaa220</w:t>
      </w:r>
    </w:p>
    <w:p w14:paraId="2DB85B42" w14:textId="77777777" w:rsidR="00E63D5B" w:rsidRDefault="001F059D">
      <w:pPr>
        <w:spacing w:after="80" w:line="240" w:lineRule="auto"/>
        <w:ind w:left="567" w:hanging="567"/>
        <w:jc w:val="left"/>
      </w:pPr>
      <w:r>
        <w:rPr>
          <w:sz w:val="20"/>
          <w:szCs w:val="20"/>
        </w:rPr>
        <w:t xml:space="preserve">Procaccia, R., Segre, G., Castiglioni, M., Rotunno, F., &amp; </w:t>
      </w:r>
      <w:proofErr w:type="spellStart"/>
      <w:r>
        <w:rPr>
          <w:sz w:val="20"/>
          <w:szCs w:val="20"/>
        </w:rPr>
        <w:t>Caldiroli</w:t>
      </w:r>
      <w:proofErr w:type="spellEnd"/>
      <w:r>
        <w:rPr>
          <w:sz w:val="20"/>
          <w:szCs w:val="20"/>
        </w:rPr>
        <w:t xml:space="preserve">, C. L. (2026). </w:t>
      </w:r>
      <w:r>
        <w:rPr>
          <w:i/>
          <w:iCs/>
          <w:sz w:val="20"/>
          <w:szCs w:val="20"/>
        </w:rPr>
        <w:t>Psychological Distress in Victims of Intimate Partner Violence: The Buffering Effect of Post-Traumatic Growth and Metacognitive Abilities.</w:t>
      </w:r>
      <w:r>
        <w:rPr>
          <w:sz w:val="20"/>
          <w:szCs w:val="20"/>
        </w:rPr>
        <w:t xml:space="preserve"> Frontiers in Psychology, 17, 1722892. https://doi.org/10.3389/fpsyg.2026.1722892</w:t>
      </w:r>
    </w:p>
    <w:p w14:paraId="1491B2AB" w14:textId="77777777" w:rsidR="00E63D5B" w:rsidRDefault="001F059D">
      <w:pPr>
        <w:spacing w:after="80" w:line="240" w:lineRule="auto"/>
        <w:ind w:left="567" w:hanging="567"/>
        <w:jc w:val="left"/>
      </w:pPr>
      <w:proofErr w:type="spellStart"/>
      <w:r>
        <w:rPr>
          <w:sz w:val="20"/>
          <w:szCs w:val="20"/>
        </w:rPr>
        <w:t>Putallaz</w:t>
      </w:r>
      <w:proofErr w:type="spellEnd"/>
      <w:r>
        <w:rPr>
          <w:sz w:val="20"/>
          <w:szCs w:val="20"/>
        </w:rPr>
        <w:t>, M., Costanzo, P. R., Grimes, C. L., &amp; Sherman, D. M. (1998). Intergenerational continuities and their influences on children’s social development. Social Development, 7(3), 389–427. https://doi.org/10.1111/1467-9507.00074</w:t>
      </w:r>
    </w:p>
    <w:p w14:paraId="34800CBC" w14:textId="77777777" w:rsidR="00E63D5B" w:rsidRDefault="001F059D">
      <w:pPr>
        <w:spacing w:after="80" w:line="240" w:lineRule="auto"/>
        <w:ind w:left="567" w:hanging="567"/>
        <w:jc w:val="left"/>
      </w:pPr>
      <w:r>
        <w:rPr>
          <w:sz w:val="20"/>
          <w:szCs w:val="20"/>
        </w:rPr>
        <w:t xml:space="preserve">Radtke, K. M., Ruf, M., Gunter, H. M., Dohrmann, K., Schauer, M., Meyer, A., &amp; Elbert, T. (2011). Transgenerational impact of intimate partner violence on methylation in the promoter of the glucocorticoid receptor. </w:t>
      </w:r>
      <w:r>
        <w:rPr>
          <w:i/>
          <w:iCs/>
          <w:sz w:val="20"/>
          <w:szCs w:val="20"/>
        </w:rPr>
        <w:t>Translational Psychiatry, 1</w:t>
      </w:r>
      <w:r>
        <w:rPr>
          <w:sz w:val="20"/>
          <w:szCs w:val="20"/>
        </w:rPr>
        <w:t>(7), e21. https://doi.org/10.1038/tp.2011.21</w:t>
      </w:r>
    </w:p>
    <w:p w14:paraId="2F754E22" w14:textId="77777777" w:rsidR="00E63D5B" w:rsidRDefault="001F059D">
      <w:pPr>
        <w:spacing w:after="80" w:line="240" w:lineRule="auto"/>
        <w:ind w:left="567" w:hanging="567"/>
        <w:jc w:val="left"/>
      </w:pPr>
      <w:r>
        <w:rPr>
          <w:sz w:val="20"/>
          <w:szCs w:val="20"/>
        </w:rPr>
        <w:t xml:space="preserve">Refugees International. (2020). </w:t>
      </w:r>
      <w:r>
        <w:rPr>
          <w:i/>
          <w:iCs/>
          <w:sz w:val="20"/>
          <w:szCs w:val="20"/>
        </w:rPr>
        <w:t>Seeking Asylum in Greece: Women and Unaccompanied Children Struggle to Survive</w:t>
      </w:r>
      <w:r>
        <w:rPr>
          <w:sz w:val="20"/>
          <w:szCs w:val="20"/>
        </w:rPr>
        <w:t>. https://www.refugeesinternational.org/reports-briefs/seeking-asylum-in-greece-women-and-unaccompanied-children-struggle-to-survive/</w:t>
      </w:r>
    </w:p>
    <w:p w14:paraId="42432CEB" w14:textId="77777777" w:rsidR="00E63D5B" w:rsidRDefault="001F059D">
      <w:pPr>
        <w:spacing w:after="80" w:line="240" w:lineRule="auto"/>
        <w:ind w:left="567" w:hanging="567"/>
        <w:jc w:val="left"/>
      </w:pPr>
      <w:r>
        <w:rPr>
          <w:sz w:val="20"/>
          <w:szCs w:val="20"/>
        </w:rPr>
        <w:t xml:space="preserve">Roberts, A. L., Gilman, S. E., Fitzmaurice, G., Decker, M. R., &amp; Koenen, K. C. (2010). </w:t>
      </w:r>
      <w:r>
        <w:rPr>
          <w:i/>
          <w:iCs/>
          <w:sz w:val="20"/>
          <w:szCs w:val="20"/>
        </w:rPr>
        <w:t>Witness of Intimate Partner Violence in Childhood and Perpetration of Intimate Partner Violence in Adulthood</w:t>
      </w:r>
      <w:r>
        <w:rPr>
          <w:sz w:val="20"/>
          <w:szCs w:val="20"/>
        </w:rPr>
        <w:t>. Epidemiology, 21(6), 809–818. https://www.sakkyndig.com/psykologi/artvit/roberts2010.pdf</w:t>
      </w:r>
    </w:p>
    <w:p w14:paraId="261F008D" w14:textId="77777777" w:rsidR="00E63D5B" w:rsidRDefault="001F059D">
      <w:pPr>
        <w:spacing w:after="80" w:line="240" w:lineRule="auto"/>
        <w:ind w:left="567" w:hanging="567"/>
        <w:jc w:val="left"/>
      </w:pPr>
      <w:r>
        <w:rPr>
          <w:sz w:val="20"/>
          <w:szCs w:val="20"/>
        </w:rPr>
        <w:t>Rodrigues, M., Neaman, A., Ditzer, J., … Talmon, A. (2025). The impact of intimate partner violence on the mental and physical health of sexual and gender minorities: A comprehensive review of quantitative research. Archives of Sexual Behavior, 54(2), 433–447. https://doi.org/10.1007/s10508-024-03023-z</w:t>
      </w:r>
    </w:p>
    <w:p w14:paraId="0E64D826" w14:textId="77777777" w:rsidR="00E63D5B" w:rsidRDefault="001F059D">
      <w:pPr>
        <w:spacing w:after="80" w:line="240" w:lineRule="auto"/>
        <w:ind w:left="567" w:hanging="567"/>
        <w:jc w:val="left"/>
      </w:pPr>
      <w:r>
        <w:rPr>
          <w:sz w:val="20"/>
          <w:szCs w:val="20"/>
        </w:rPr>
        <w:lastRenderedPageBreak/>
        <w:t>Ross, N., Doria, N., McNaughton, C., &amp; Bagg, L. (2026). How survivors of intimate partner violence experience trauma-informed care: A scoping review. PLOS ONE, 21(4), Article e0334623. https://doi.org/10.1371/journal.pone.0334623</w:t>
      </w:r>
    </w:p>
    <w:p w14:paraId="4DC4E2C0" w14:textId="77777777" w:rsidR="00E63D5B" w:rsidRDefault="001F059D">
      <w:pPr>
        <w:spacing w:after="80" w:line="240" w:lineRule="auto"/>
        <w:ind w:left="567" w:hanging="567"/>
        <w:jc w:val="left"/>
      </w:pPr>
      <w:r>
        <w:rPr>
          <w:sz w:val="20"/>
          <w:szCs w:val="20"/>
        </w:rPr>
        <w:t xml:space="preserve">Rutter, M., Moffitt, T. E., &amp; Caspi, A. (2006). Gene–environment interplay and psychopathology: Multiple varieties but real effects. </w:t>
      </w:r>
      <w:r>
        <w:rPr>
          <w:i/>
          <w:iCs/>
          <w:sz w:val="20"/>
          <w:szCs w:val="20"/>
        </w:rPr>
        <w:t>Journal of Child Psychology and Psychiatry, 47</w:t>
      </w:r>
      <w:r>
        <w:rPr>
          <w:sz w:val="20"/>
          <w:szCs w:val="20"/>
        </w:rPr>
        <w:t>(3–4), 226–261. https://doi.org/10.1111/j.1469-7610.2005.01557.x</w:t>
      </w:r>
    </w:p>
    <w:p w14:paraId="153BBB64" w14:textId="77777777" w:rsidR="00E63D5B" w:rsidRDefault="001F059D">
      <w:pPr>
        <w:spacing w:after="80" w:line="240" w:lineRule="auto"/>
        <w:ind w:left="567" w:hanging="567"/>
        <w:jc w:val="left"/>
      </w:pPr>
      <w:r>
        <w:rPr>
          <w:sz w:val="20"/>
          <w:szCs w:val="20"/>
        </w:rPr>
        <w:t xml:space="preserve">Rutter, M., &amp; Sroufe, L. A. (2000). Developmental psychopathology: Concepts and challenges. </w:t>
      </w:r>
      <w:r>
        <w:rPr>
          <w:i/>
          <w:iCs/>
          <w:sz w:val="20"/>
          <w:szCs w:val="20"/>
        </w:rPr>
        <w:t>Development and Psychopathology, 12</w:t>
      </w:r>
      <w:r>
        <w:rPr>
          <w:sz w:val="20"/>
          <w:szCs w:val="20"/>
        </w:rPr>
        <w:t>(3), 265–296. https://doi.org/10.1017/S0954579400003023</w:t>
      </w:r>
    </w:p>
    <w:p w14:paraId="2F90A46D" w14:textId="77777777" w:rsidR="000956C9" w:rsidRDefault="00F56A84">
      <w:pPr>
        <w:spacing w:after="80" w:line="240" w:lineRule="auto"/>
        <w:ind w:left="567" w:hanging="567"/>
        <w:jc w:val="left"/>
      </w:pPr>
      <w:r>
        <w:rPr>
          <w:sz w:val="20"/>
          <w:szCs w:val="20"/>
        </w:rPr>
        <w:t xml:space="preserve">Sadler, L. S., Slade, A., Close, N., Webb, D. L., Simpson, T., Fennie, K., &amp; Mayes, L. C. (2013). Minding the Baby: Improving early health and relationship outcomes. </w:t>
      </w:r>
      <w:r>
        <w:rPr>
          <w:i/>
          <w:iCs/>
          <w:sz w:val="20"/>
          <w:szCs w:val="20"/>
        </w:rPr>
        <w:t>Infant Mental Health Journal, 34</w:t>
      </w:r>
      <w:r>
        <w:rPr>
          <w:sz w:val="20"/>
          <w:szCs w:val="20"/>
        </w:rPr>
        <w:t>(5), 391–405.</w:t>
      </w:r>
    </w:p>
    <w:p w14:paraId="5B00ACCF" w14:textId="77777777" w:rsidR="00E63D5B" w:rsidRDefault="001F059D">
      <w:pPr>
        <w:spacing w:after="80" w:line="240" w:lineRule="auto"/>
        <w:ind w:left="567" w:hanging="567"/>
        <w:jc w:val="left"/>
      </w:pPr>
      <w:r>
        <w:rPr>
          <w:sz w:val="20"/>
          <w:szCs w:val="20"/>
        </w:rPr>
        <w:t xml:space="preserve">Sardinha, L., Maheu-Giroux, M., Stöckl, H., Meyer, S. R., &amp; García-Moreno, C. (2022). </w:t>
      </w:r>
      <w:r>
        <w:rPr>
          <w:i/>
          <w:iCs/>
          <w:sz w:val="20"/>
          <w:szCs w:val="20"/>
        </w:rPr>
        <w:t>Global, regional, and national prevalence estimates of physical or sexual, or both, intimate partner violence against women in 2018</w:t>
      </w:r>
      <w:r>
        <w:rPr>
          <w:sz w:val="20"/>
          <w:szCs w:val="20"/>
        </w:rPr>
        <w:t>.</w:t>
      </w:r>
      <w:r>
        <w:rPr>
          <w:i/>
          <w:iCs/>
          <w:sz w:val="20"/>
          <w:szCs w:val="20"/>
        </w:rPr>
        <w:t xml:space="preserve"> The Lancet, 399</w:t>
      </w:r>
      <w:r>
        <w:rPr>
          <w:sz w:val="20"/>
          <w:szCs w:val="20"/>
        </w:rPr>
        <w:t>(10327), 803–813. https://doi.org/10.1016/S0140-6736(21)02664-7</w:t>
      </w:r>
    </w:p>
    <w:p w14:paraId="43F2586A" w14:textId="77777777" w:rsidR="00E63D5B" w:rsidRDefault="001F059D">
      <w:pPr>
        <w:spacing w:after="80" w:line="240" w:lineRule="auto"/>
        <w:ind w:left="567" w:hanging="567"/>
        <w:jc w:val="left"/>
      </w:pPr>
      <w:r>
        <w:rPr>
          <w:sz w:val="20"/>
          <w:szCs w:val="20"/>
        </w:rPr>
        <w:t xml:space="preserve">Schechter, D. S., &amp; Willheim, E. (2009). Disturbances of attachment and parental psychopathology in early childhood. </w:t>
      </w:r>
      <w:r>
        <w:rPr>
          <w:i/>
          <w:iCs/>
          <w:sz w:val="20"/>
          <w:szCs w:val="20"/>
        </w:rPr>
        <w:t>Child and adolescent psychiatric clinics of North America</w:t>
      </w:r>
      <w:r>
        <w:rPr>
          <w:sz w:val="20"/>
          <w:szCs w:val="20"/>
        </w:rPr>
        <w:t xml:space="preserve">, </w:t>
      </w:r>
      <w:r>
        <w:rPr>
          <w:i/>
          <w:iCs/>
          <w:sz w:val="20"/>
          <w:szCs w:val="20"/>
        </w:rPr>
        <w:t>18</w:t>
      </w:r>
      <w:r>
        <w:rPr>
          <w:sz w:val="20"/>
          <w:szCs w:val="20"/>
        </w:rPr>
        <w:t>(3), 665–686. https://doi.org/10.1016/j.chc.2009.03.001</w:t>
      </w:r>
    </w:p>
    <w:p w14:paraId="4336C4D5" w14:textId="77777777" w:rsidR="00E63D5B" w:rsidRDefault="001F059D">
      <w:pPr>
        <w:spacing w:after="80" w:line="240" w:lineRule="auto"/>
        <w:ind w:left="567" w:hanging="567"/>
        <w:jc w:val="left"/>
      </w:pPr>
      <w:r>
        <w:rPr>
          <w:sz w:val="20"/>
          <w:szCs w:val="20"/>
        </w:rPr>
        <w:t xml:space="preserve">Schechter, S. (1982). </w:t>
      </w:r>
      <w:r>
        <w:rPr>
          <w:i/>
          <w:iCs/>
          <w:sz w:val="20"/>
          <w:szCs w:val="20"/>
        </w:rPr>
        <w:t>Women and male violence: The visions and struggles of the battered women's movement</w:t>
      </w:r>
      <w:r>
        <w:rPr>
          <w:sz w:val="20"/>
          <w:szCs w:val="20"/>
        </w:rPr>
        <w:t>. South End Press.</w:t>
      </w:r>
    </w:p>
    <w:p w14:paraId="2729EF8E" w14:textId="77777777" w:rsidR="00E63D5B" w:rsidRDefault="001F059D">
      <w:pPr>
        <w:spacing w:after="80" w:line="240" w:lineRule="auto"/>
        <w:ind w:left="567" w:hanging="567"/>
        <w:jc w:val="left"/>
      </w:pPr>
      <w:r>
        <w:rPr>
          <w:sz w:val="20"/>
          <w:szCs w:val="20"/>
        </w:rPr>
        <w:t xml:space="preserve">Scott, K., Dubovski, V., Devine, C., Colquhoun, C., &amp; Goodman, D. (2021). Caring Dads intervention for fathers who have perpetrated abuse within their families: Quasi-experimental evaluation of child protection outcomes over two years. </w:t>
      </w:r>
      <w:r>
        <w:rPr>
          <w:i/>
          <w:iCs/>
          <w:sz w:val="20"/>
          <w:szCs w:val="20"/>
        </w:rPr>
        <w:t>Child Abuse &amp; Neglect, 120</w:t>
      </w:r>
      <w:r>
        <w:rPr>
          <w:sz w:val="20"/>
          <w:szCs w:val="20"/>
        </w:rPr>
        <w:t>, 105204. https://doi.org/10.1016/j.chiabu.2021.105204</w:t>
      </w:r>
    </w:p>
    <w:p w14:paraId="0ED7DBB4" w14:textId="77777777" w:rsidR="00E63D5B" w:rsidRDefault="001F059D">
      <w:pPr>
        <w:spacing w:after="80" w:line="240" w:lineRule="auto"/>
        <w:ind w:left="567" w:hanging="567"/>
        <w:jc w:val="left"/>
      </w:pPr>
      <w:r>
        <w:rPr>
          <w:sz w:val="20"/>
          <w:szCs w:val="20"/>
        </w:rPr>
        <w:t xml:space="preserve">Seligman, M. E. P. (1975). </w:t>
      </w:r>
      <w:r>
        <w:rPr>
          <w:i/>
          <w:iCs/>
          <w:sz w:val="20"/>
          <w:szCs w:val="20"/>
        </w:rPr>
        <w:t>Helplessness: On Depression, Development, and Death</w:t>
      </w:r>
      <w:r>
        <w:rPr>
          <w:sz w:val="20"/>
          <w:szCs w:val="20"/>
        </w:rPr>
        <w:t>. W. H. Freeman</w:t>
      </w:r>
    </w:p>
    <w:p w14:paraId="0A1435F3" w14:textId="77777777" w:rsidR="00E63D5B" w:rsidRDefault="001F059D">
      <w:pPr>
        <w:spacing w:after="80" w:line="240" w:lineRule="auto"/>
        <w:ind w:left="567" w:hanging="567"/>
        <w:jc w:val="left"/>
      </w:pPr>
      <w:r>
        <w:rPr>
          <w:sz w:val="20"/>
          <w:szCs w:val="20"/>
        </w:rPr>
        <w:t xml:space="preserve">Shah, P. S., &amp; Shah, J. (2010). </w:t>
      </w:r>
      <w:r>
        <w:rPr>
          <w:i/>
          <w:iCs/>
          <w:sz w:val="20"/>
          <w:szCs w:val="20"/>
        </w:rPr>
        <w:t>Maternal Exposure to Domestic Violence and Pregnancy and Birth Outcomes: A Systematic Review and Meta-Analyses</w:t>
      </w:r>
      <w:r>
        <w:rPr>
          <w:sz w:val="20"/>
          <w:szCs w:val="20"/>
        </w:rPr>
        <w:t>. Journal of Women's Health, 19(11), 2017–2031. https://doi.org/10.1089/jwh.2010.2051</w:t>
      </w:r>
    </w:p>
    <w:p w14:paraId="44666F89" w14:textId="77777777" w:rsidR="00E63D5B" w:rsidRDefault="001F059D">
      <w:pPr>
        <w:spacing w:after="80" w:line="240" w:lineRule="auto"/>
        <w:ind w:left="567" w:hanging="567"/>
        <w:jc w:val="left"/>
      </w:pPr>
      <w:r>
        <w:rPr>
          <w:sz w:val="20"/>
          <w:szCs w:val="20"/>
        </w:rPr>
        <w:t xml:space="preserve">Shapiro, F. (2001). </w:t>
      </w:r>
      <w:r>
        <w:rPr>
          <w:i/>
          <w:iCs/>
          <w:sz w:val="20"/>
          <w:szCs w:val="20"/>
        </w:rPr>
        <w:t>Eye movement desensitization and reprocessing: Basic principles, protocols, and procedures</w:t>
      </w:r>
      <w:r>
        <w:rPr>
          <w:sz w:val="20"/>
          <w:szCs w:val="20"/>
        </w:rPr>
        <w:t xml:space="preserve"> (2nd ed.). Guilford Press.</w:t>
      </w:r>
    </w:p>
    <w:p w14:paraId="28D1C6D1" w14:textId="77777777" w:rsidR="00E63D5B" w:rsidRDefault="001F059D">
      <w:pPr>
        <w:spacing w:after="80" w:line="240" w:lineRule="auto"/>
        <w:ind w:left="567" w:hanging="567"/>
        <w:jc w:val="left"/>
      </w:pPr>
      <w:r>
        <w:rPr>
          <w:sz w:val="20"/>
          <w:szCs w:val="20"/>
        </w:rPr>
        <w:t xml:space="preserve">Sharp-Jeffs, N., Kelly, L., &amp; Klein, R. (2018). Long journeys toward freedom: The relationship between coercive control and space for action—Measurement and emerging evidence. </w:t>
      </w:r>
      <w:r>
        <w:rPr>
          <w:i/>
          <w:iCs/>
          <w:sz w:val="20"/>
          <w:szCs w:val="20"/>
        </w:rPr>
        <w:t>Violence Against Women, 24</w:t>
      </w:r>
      <w:r>
        <w:rPr>
          <w:sz w:val="20"/>
          <w:szCs w:val="20"/>
        </w:rPr>
        <w:t>(2), 163–185. https://doi.org/10.1177/1077801216686199</w:t>
      </w:r>
    </w:p>
    <w:p w14:paraId="12C516EC" w14:textId="77777777" w:rsidR="00E63D5B" w:rsidRDefault="001F059D">
      <w:pPr>
        <w:spacing w:after="80" w:line="240" w:lineRule="auto"/>
        <w:ind w:left="567" w:hanging="567"/>
        <w:jc w:val="left"/>
      </w:pPr>
      <w:r>
        <w:rPr>
          <w:sz w:val="20"/>
          <w:szCs w:val="20"/>
        </w:rPr>
        <w:t xml:space="preserve">Shin, S. H., Tomlinson, C. A., Nelson-Hence, D., &amp; </w:t>
      </w:r>
      <w:proofErr w:type="spellStart"/>
      <w:r>
        <w:rPr>
          <w:sz w:val="20"/>
          <w:szCs w:val="20"/>
        </w:rPr>
        <w:t>Ksinan</w:t>
      </w:r>
      <w:proofErr w:type="spellEnd"/>
      <w:r>
        <w:rPr>
          <w:sz w:val="20"/>
          <w:szCs w:val="20"/>
        </w:rPr>
        <w:t xml:space="preserve"> Jiskrova, G. (2023). Understanding the intergenerational cycle of trauma and violence: Maternal adverse childhood experiences and parent-to-child aggression risk. </w:t>
      </w:r>
      <w:r>
        <w:rPr>
          <w:i/>
          <w:iCs/>
          <w:sz w:val="20"/>
          <w:szCs w:val="20"/>
        </w:rPr>
        <w:t>Journal of Interpersonal Violence, 38</w:t>
      </w:r>
      <w:r>
        <w:rPr>
          <w:sz w:val="20"/>
          <w:szCs w:val="20"/>
        </w:rPr>
        <w:t>(5-6), 4998–5018. https://doi.org/10.1177/08862605221120884</w:t>
      </w:r>
    </w:p>
    <w:p w14:paraId="2E0D0ACA" w14:textId="77777777" w:rsidR="00E63D5B" w:rsidRDefault="001F059D">
      <w:pPr>
        <w:spacing w:after="80" w:line="240" w:lineRule="auto"/>
        <w:ind w:left="567" w:hanging="567"/>
        <w:jc w:val="left"/>
      </w:pPr>
      <w:r>
        <w:rPr>
          <w:sz w:val="20"/>
          <w:szCs w:val="20"/>
        </w:rPr>
        <w:t>Slade, A. (2005). Parental reflective functioning: An introduction. Attachment &amp; Human Development, 7(3), 269–281. https://doi.org/10.1080/14616730500245906</w:t>
      </w:r>
    </w:p>
    <w:p w14:paraId="4563C3EB" w14:textId="77777777" w:rsidR="000956C9" w:rsidRDefault="00F56A84">
      <w:pPr>
        <w:spacing w:after="80" w:line="240" w:lineRule="auto"/>
        <w:ind w:left="567" w:hanging="567"/>
        <w:jc w:val="left"/>
      </w:pPr>
      <w:r>
        <w:rPr>
          <w:sz w:val="20"/>
          <w:szCs w:val="20"/>
        </w:rPr>
        <w:t xml:space="preserve">Slade, A., Holland, M. L., Ordway, M. R., Carlson, E. A., Jeon, S., Close, N., Mayes, L. C., &amp; Sadler, L. S. (2020). Minding the Baby®: Enhancing parental reflective functioning and infant attachment in an attachment-based, interdisciplinary home visiting program. </w:t>
      </w:r>
      <w:r>
        <w:rPr>
          <w:i/>
          <w:iCs/>
          <w:sz w:val="20"/>
          <w:szCs w:val="20"/>
        </w:rPr>
        <w:t>Development and Psychopathology, 32</w:t>
      </w:r>
      <w:r>
        <w:rPr>
          <w:sz w:val="20"/>
          <w:szCs w:val="20"/>
        </w:rPr>
        <w:t>(1), 123–137.</w:t>
      </w:r>
    </w:p>
    <w:p w14:paraId="1F5FF4BA" w14:textId="77777777" w:rsidR="00E63D5B" w:rsidRDefault="001F059D">
      <w:pPr>
        <w:spacing w:after="80" w:line="240" w:lineRule="auto"/>
        <w:ind w:left="567" w:hanging="567"/>
        <w:jc w:val="left"/>
      </w:pPr>
      <w:r>
        <w:rPr>
          <w:sz w:val="20"/>
          <w:szCs w:val="20"/>
        </w:rPr>
        <w:t xml:space="preserve">Smith, B. W., Dalen, J., Wiggins, K., Tooley, E., Christopher, P., &amp; Bernard, J. (2008). The Brief Resilience Scale: Assessing the ability to bounce back. </w:t>
      </w:r>
      <w:r>
        <w:rPr>
          <w:i/>
          <w:iCs/>
          <w:sz w:val="20"/>
          <w:szCs w:val="20"/>
        </w:rPr>
        <w:t>International Journal of Behavioral Medicine, 15</w:t>
      </w:r>
      <w:r>
        <w:rPr>
          <w:sz w:val="20"/>
          <w:szCs w:val="20"/>
        </w:rPr>
        <w:t>(3), 194–200. https://doi.org/10.1080/10705500802222972</w:t>
      </w:r>
    </w:p>
    <w:p w14:paraId="3F3C3BB1" w14:textId="77777777" w:rsidR="00E63D5B" w:rsidRDefault="001F059D">
      <w:pPr>
        <w:spacing w:after="80" w:line="240" w:lineRule="auto"/>
        <w:ind w:left="567" w:hanging="567"/>
        <w:jc w:val="left"/>
      </w:pPr>
      <w:r>
        <w:rPr>
          <w:sz w:val="20"/>
          <w:szCs w:val="20"/>
        </w:rPr>
        <w:t>Smith, C. P., &amp; Freyd, J. J. (2014). Institutional betrayal. American Psychologist, 69(6), 575–587. https://doi.org/10.1037/a0037564</w:t>
      </w:r>
    </w:p>
    <w:p w14:paraId="04CAD104" w14:textId="77777777" w:rsidR="00E63D5B" w:rsidRDefault="001F059D">
      <w:pPr>
        <w:spacing w:after="80" w:line="240" w:lineRule="auto"/>
        <w:ind w:left="567" w:hanging="567"/>
        <w:jc w:val="left"/>
      </w:pPr>
      <w:r>
        <w:rPr>
          <w:sz w:val="20"/>
          <w:szCs w:val="20"/>
        </w:rPr>
        <w:t xml:space="preserve">Smith-Marek, E. N., Cafferky, B., </w:t>
      </w:r>
      <w:proofErr w:type="spellStart"/>
      <w:r>
        <w:rPr>
          <w:sz w:val="20"/>
          <w:szCs w:val="20"/>
        </w:rPr>
        <w:t>Dharnidharka</w:t>
      </w:r>
      <w:proofErr w:type="spellEnd"/>
      <w:r>
        <w:rPr>
          <w:sz w:val="20"/>
          <w:szCs w:val="20"/>
        </w:rPr>
        <w:t xml:space="preserve">, P., Mallory, A. B., Dominguez, M., High, J., Stith, S. M., &amp; Mendez, M. (2015). </w:t>
      </w:r>
      <w:r>
        <w:rPr>
          <w:i/>
          <w:iCs/>
          <w:sz w:val="20"/>
          <w:szCs w:val="20"/>
        </w:rPr>
        <w:t>Effects of Childhood Experiences of Family Violence on Adult Partner Violence: A Meta-Analytic Review.</w:t>
      </w:r>
      <w:r>
        <w:rPr>
          <w:sz w:val="20"/>
          <w:szCs w:val="20"/>
        </w:rPr>
        <w:t xml:space="preserve"> Journal of Family Theory &amp; Review, 7(4), 498–519. https://doi.org/10.1111/jftr.12113</w:t>
      </w:r>
    </w:p>
    <w:p w14:paraId="73C14684" w14:textId="77777777" w:rsidR="00E63D5B" w:rsidRDefault="001F059D">
      <w:pPr>
        <w:spacing w:after="80" w:line="240" w:lineRule="auto"/>
        <w:ind w:left="567" w:hanging="567"/>
        <w:jc w:val="left"/>
      </w:pPr>
      <w:r>
        <w:rPr>
          <w:sz w:val="20"/>
          <w:szCs w:val="20"/>
        </w:rPr>
        <w:t xml:space="preserve">Sokoloff, N. J., &amp; Dupont, I. (2005). Domestic violence at the intersections of race, class, and gender. </w:t>
      </w:r>
      <w:r>
        <w:rPr>
          <w:i/>
          <w:iCs/>
          <w:sz w:val="20"/>
          <w:szCs w:val="20"/>
        </w:rPr>
        <w:t>Violence Against Women, 11</w:t>
      </w:r>
      <w:r>
        <w:rPr>
          <w:sz w:val="20"/>
          <w:szCs w:val="20"/>
        </w:rPr>
        <w:t>(1), 38–64.</w:t>
      </w:r>
    </w:p>
    <w:p w14:paraId="58BB1B68" w14:textId="77777777" w:rsidR="00E63D5B" w:rsidRDefault="001F059D">
      <w:pPr>
        <w:spacing w:after="80" w:line="240" w:lineRule="auto"/>
        <w:ind w:left="567" w:hanging="567"/>
        <w:jc w:val="left"/>
      </w:pPr>
      <w:r>
        <w:rPr>
          <w:sz w:val="20"/>
          <w:szCs w:val="20"/>
        </w:rPr>
        <w:lastRenderedPageBreak/>
        <w:t xml:space="preserve">Sousa, C., Herrenkohl, T. I., Moylan, C. A., Tajima, E. A., Klika, J. B., &amp; </w:t>
      </w:r>
      <w:proofErr w:type="spellStart"/>
      <w:r>
        <w:rPr>
          <w:sz w:val="20"/>
          <w:szCs w:val="20"/>
        </w:rPr>
        <w:t>Herrenkohl</w:t>
      </w:r>
      <w:proofErr w:type="spellEnd"/>
      <w:r>
        <w:rPr>
          <w:sz w:val="20"/>
          <w:szCs w:val="20"/>
        </w:rPr>
        <w:t xml:space="preserve">, R. C. (2022). What do we know after decades of research about parenting and IPV? A systematic scoping review integrating findings. </w:t>
      </w:r>
      <w:r>
        <w:rPr>
          <w:i/>
          <w:iCs/>
          <w:sz w:val="20"/>
          <w:szCs w:val="20"/>
        </w:rPr>
        <w:t>Trauma, Violence, &amp; Abuse, 23</w:t>
      </w:r>
      <w:r>
        <w:rPr>
          <w:sz w:val="20"/>
          <w:szCs w:val="20"/>
        </w:rPr>
        <w:t>(5), 1629–1642. https://doi.org/10.1177/15248380211016019</w:t>
      </w:r>
    </w:p>
    <w:p w14:paraId="1D173C86" w14:textId="77777777" w:rsidR="00E63D5B" w:rsidRDefault="001F059D">
      <w:pPr>
        <w:spacing w:after="80" w:line="240" w:lineRule="auto"/>
        <w:ind w:left="567" w:hanging="567"/>
        <w:jc w:val="left"/>
      </w:pPr>
      <w:r>
        <w:rPr>
          <w:sz w:val="20"/>
          <w:szCs w:val="20"/>
        </w:rPr>
        <w:t>Spearman, K. J., Vaughan-Eden, V., Hardesty, J. L., &amp; Campbell, J. (2024). Post-separation abuse: A literature review connecting tactics to harm. Journal of Family Trauma, Child Custody &amp; Child Development, 21(2), 145–164. https://doi.org/10.1080/26904586.2023.2177233</w:t>
      </w:r>
    </w:p>
    <w:p w14:paraId="1F79AF0F" w14:textId="77777777" w:rsidR="000956C9" w:rsidRDefault="00F56A84">
      <w:pPr>
        <w:spacing w:after="80" w:line="240" w:lineRule="auto"/>
        <w:ind w:left="567" w:hanging="567"/>
        <w:jc w:val="left"/>
      </w:pPr>
      <w:r>
        <w:rPr>
          <w:sz w:val="20"/>
          <w:szCs w:val="20"/>
        </w:rPr>
        <w:t xml:space="preserve">Sperlich, M., Seng, J. S., Rowe, H., Cameron, H., Harris, A., McCracken, A., Rauch, S. A. M., &amp; Bell, S. A. (2011). The Survivor Moms’ Companion: Feasibility, safety, and acceptability of a posttraumatic stress-specific psychoeducation program for pregnant survivors of childhood maltreatment and sexual trauma. </w:t>
      </w:r>
      <w:r>
        <w:rPr>
          <w:i/>
          <w:iCs/>
          <w:sz w:val="20"/>
          <w:szCs w:val="20"/>
        </w:rPr>
        <w:t>International Journal of Childbirth, 1</w:t>
      </w:r>
      <w:r>
        <w:rPr>
          <w:sz w:val="20"/>
          <w:szCs w:val="20"/>
        </w:rPr>
        <w:t>(2), 122–135.</w:t>
      </w:r>
    </w:p>
    <w:p w14:paraId="1A3D85C7" w14:textId="77777777" w:rsidR="00E63D5B" w:rsidRDefault="001F059D">
      <w:pPr>
        <w:spacing w:after="80" w:line="240" w:lineRule="auto"/>
        <w:ind w:left="567" w:hanging="567"/>
        <w:jc w:val="left"/>
      </w:pPr>
      <w:r>
        <w:rPr>
          <w:sz w:val="20"/>
          <w:szCs w:val="20"/>
        </w:rPr>
        <w:t xml:space="preserve">Spotlight Initiative. (2021). </w:t>
      </w:r>
      <w:r>
        <w:rPr>
          <w:i/>
          <w:iCs/>
          <w:sz w:val="20"/>
          <w:szCs w:val="20"/>
        </w:rPr>
        <w:t xml:space="preserve">One-stop </w:t>
      </w:r>
      <w:proofErr w:type="spellStart"/>
      <w:r>
        <w:rPr>
          <w:i/>
          <w:iCs/>
          <w:sz w:val="20"/>
          <w:szCs w:val="20"/>
        </w:rPr>
        <w:t>centres</w:t>
      </w:r>
      <w:proofErr w:type="spellEnd"/>
      <w:r>
        <w:rPr>
          <w:i/>
          <w:iCs/>
          <w:sz w:val="20"/>
          <w:szCs w:val="20"/>
        </w:rPr>
        <w:t xml:space="preserve"> and mobile services for survivors of violence</w:t>
      </w:r>
      <w:r>
        <w:rPr>
          <w:sz w:val="20"/>
          <w:szCs w:val="20"/>
        </w:rPr>
        <w:t>. https://www.spotlightinitiative.org</w:t>
      </w:r>
    </w:p>
    <w:p w14:paraId="4541E707" w14:textId="77777777" w:rsidR="00E63D5B" w:rsidRDefault="001F059D">
      <w:pPr>
        <w:spacing w:after="80" w:line="240" w:lineRule="auto"/>
        <w:ind w:left="567" w:hanging="567"/>
        <w:jc w:val="left"/>
      </w:pPr>
      <w:r>
        <w:rPr>
          <w:sz w:val="20"/>
          <w:szCs w:val="20"/>
        </w:rPr>
        <w:t xml:space="preserve">Stark, E. (2007). </w:t>
      </w:r>
      <w:r>
        <w:rPr>
          <w:i/>
          <w:iCs/>
          <w:sz w:val="20"/>
          <w:szCs w:val="20"/>
        </w:rPr>
        <w:t>Coercive control: How men entrap women in personal life</w:t>
      </w:r>
      <w:r>
        <w:rPr>
          <w:sz w:val="20"/>
          <w:szCs w:val="20"/>
        </w:rPr>
        <w:t>. Oxford University Press.</w:t>
      </w:r>
    </w:p>
    <w:p w14:paraId="0C48D92E" w14:textId="77777777" w:rsidR="000956C9" w:rsidRDefault="00F56A84">
      <w:pPr>
        <w:spacing w:after="80" w:line="240" w:lineRule="auto"/>
        <w:ind w:left="567" w:hanging="567"/>
        <w:jc w:val="left"/>
      </w:pPr>
      <w:r>
        <w:rPr>
          <w:sz w:val="20"/>
          <w:szCs w:val="20"/>
        </w:rPr>
        <w:t xml:space="preserve">Stith, S. M., Rosen, K. H., &amp; McCollum, E. E. (2003). Effectiveness of </w:t>
      </w:r>
      <w:proofErr w:type="gramStart"/>
      <w:r>
        <w:rPr>
          <w:sz w:val="20"/>
          <w:szCs w:val="20"/>
        </w:rPr>
        <w:t>couples</w:t>
      </w:r>
      <w:proofErr w:type="gramEnd"/>
      <w:r>
        <w:rPr>
          <w:sz w:val="20"/>
          <w:szCs w:val="20"/>
        </w:rPr>
        <w:t xml:space="preserve"> treatment for spouse abuse. </w:t>
      </w:r>
      <w:r>
        <w:rPr>
          <w:i/>
          <w:iCs/>
          <w:sz w:val="20"/>
          <w:szCs w:val="20"/>
        </w:rPr>
        <w:t>Journal of Marital and Family Therapy, 29</w:t>
      </w:r>
      <w:r>
        <w:rPr>
          <w:sz w:val="20"/>
          <w:szCs w:val="20"/>
        </w:rPr>
        <w:t>(3), 407–426. https://doi.org/10.1111/j.1752-0606.2003.tb01215.x</w:t>
      </w:r>
    </w:p>
    <w:p w14:paraId="61C060D2" w14:textId="77777777" w:rsidR="00E63D5B" w:rsidRDefault="001F059D">
      <w:pPr>
        <w:spacing w:after="80" w:line="240" w:lineRule="auto"/>
        <w:ind w:left="567" w:hanging="567"/>
        <w:jc w:val="left"/>
      </w:pPr>
      <w:r>
        <w:rPr>
          <w:sz w:val="20"/>
          <w:szCs w:val="20"/>
        </w:rPr>
        <w:t xml:space="preserve">Stith, S. M., Rosen, K. H., Middleton, K. A., Busch, A. L., Lundeberg, K., &amp; Carlton, R. P. (2000). The intergenerational transmission of spouse abuse: A meta-analysis. </w:t>
      </w:r>
      <w:r>
        <w:rPr>
          <w:i/>
          <w:iCs/>
          <w:sz w:val="20"/>
          <w:szCs w:val="20"/>
        </w:rPr>
        <w:t>Journal of Marriage and Family, 62</w:t>
      </w:r>
      <w:r>
        <w:rPr>
          <w:sz w:val="20"/>
          <w:szCs w:val="20"/>
        </w:rPr>
        <w:t>(3), 640–654.</w:t>
      </w:r>
    </w:p>
    <w:p w14:paraId="2C4F5173" w14:textId="77777777" w:rsidR="00E63D5B" w:rsidRDefault="001F059D">
      <w:pPr>
        <w:spacing w:after="80" w:line="240" w:lineRule="auto"/>
        <w:ind w:left="567" w:hanging="567"/>
        <w:jc w:val="left"/>
      </w:pPr>
      <w:r>
        <w:rPr>
          <w:sz w:val="20"/>
          <w:szCs w:val="20"/>
        </w:rPr>
        <w:t xml:space="preserve">Stöckl, H., Devries, K., Rotstein, A., Abrahams, N., Campbell, J., Watts, C., &amp; García-Moreno, C. (2013). The global prevalence of intimate partner homicide: A systematic review. </w:t>
      </w:r>
      <w:r>
        <w:rPr>
          <w:i/>
          <w:iCs/>
          <w:sz w:val="20"/>
          <w:szCs w:val="20"/>
        </w:rPr>
        <w:t>The Lancet, 382</w:t>
      </w:r>
      <w:r>
        <w:rPr>
          <w:sz w:val="20"/>
          <w:szCs w:val="20"/>
        </w:rPr>
        <w:t>(9895), 859–865. https://doi.org/10.1016/S0140-6736(13)61030-2</w:t>
      </w:r>
    </w:p>
    <w:p w14:paraId="79F47799" w14:textId="77777777" w:rsidR="00E63D5B" w:rsidRDefault="001F059D">
      <w:pPr>
        <w:spacing w:after="80" w:line="240" w:lineRule="auto"/>
        <w:ind w:left="567" w:hanging="567"/>
        <w:jc w:val="left"/>
      </w:pPr>
      <w:r>
        <w:rPr>
          <w:sz w:val="20"/>
          <w:szCs w:val="20"/>
        </w:rPr>
        <w:t xml:space="preserve">Stockman, J. K., Hayashi, H., &amp; Campbell, J. C. (2015). </w:t>
      </w:r>
      <w:r>
        <w:rPr>
          <w:i/>
          <w:iCs/>
          <w:sz w:val="20"/>
          <w:szCs w:val="20"/>
        </w:rPr>
        <w:t>Intimate Partner Violence and Its Health Impact on Ethnic Minority Women</w:t>
      </w:r>
      <w:r>
        <w:rPr>
          <w:sz w:val="20"/>
          <w:szCs w:val="20"/>
        </w:rPr>
        <w:t>. Journal of Women's Health, 24(1), 62–79. https://pubmed.ncbi.nlm.nih.gov/25551432/</w:t>
      </w:r>
    </w:p>
    <w:p w14:paraId="329D2C15" w14:textId="77777777" w:rsidR="000956C9" w:rsidRDefault="00F56A84">
      <w:pPr>
        <w:spacing w:after="80" w:line="240" w:lineRule="auto"/>
        <w:ind w:left="567" w:hanging="567"/>
        <w:jc w:val="left"/>
      </w:pPr>
      <w:r>
        <w:rPr>
          <w:sz w:val="20"/>
          <w:szCs w:val="20"/>
        </w:rPr>
        <w:t xml:space="preserve">Stover, C. S. (2013). Fathers for change: A new approach to working with fathers who perpetrate intimate partner violence. </w:t>
      </w:r>
      <w:r>
        <w:rPr>
          <w:i/>
          <w:iCs/>
          <w:sz w:val="20"/>
          <w:szCs w:val="20"/>
        </w:rPr>
        <w:t>Journal of the American Academy of Psychiatry and the Law, 41</w:t>
      </w:r>
      <w:r>
        <w:rPr>
          <w:sz w:val="20"/>
          <w:szCs w:val="20"/>
        </w:rPr>
        <w:t>(1), 65–71.</w:t>
      </w:r>
    </w:p>
    <w:p w14:paraId="52B0F313" w14:textId="77777777" w:rsidR="00E63D5B" w:rsidRDefault="001F059D">
      <w:pPr>
        <w:spacing w:after="80" w:line="240" w:lineRule="auto"/>
        <w:ind w:left="567" w:hanging="567"/>
        <w:jc w:val="left"/>
      </w:pPr>
      <w:r>
        <w:rPr>
          <w:sz w:val="20"/>
          <w:szCs w:val="20"/>
        </w:rPr>
        <w:t xml:space="preserve">Stover, C. S., Farren, A., Campbell, R., Day, M. J., &amp; </w:t>
      </w:r>
      <w:proofErr w:type="spellStart"/>
      <w:r>
        <w:rPr>
          <w:sz w:val="20"/>
          <w:szCs w:val="20"/>
        </w:rPr>
        <w:t>Sernyak</w:t>
      </w:r>
      <w:proofErr w:type="spellEnd"/>
      <w:r>
        <w:rPr>
          <w:sz w:val="20"/>
          <w:szCs w:val="20"/>
        </w:rPr>
        <w:t>, Z. (2023). Self-reported reflective functioning and father–child interactions in a sample of fathers who have used intimate partner violence. Infant Mental Health Journal, 44(2), 255–267. https://doi.org/10.1002/imhj.22044</w:t>
      </w:r>
    </w:p>
    <w:p w14:paraId="696A0ABF" w14:textId="77777777" w:rsidR="00E63D5B" w:rsidRDefault="001F059D">
      <w:pPr>
        <w:spacing w:after="80" w:line="240" w:lineRule="auto"/>
        <w:ind w:left="567" w:hanging="567"/>
        <w:jc w:val="left"/>
      </w:pPr>
      <w:r>
        <w:rPr>
          <w:sz w:val="20"/>
          <w:szCs w:val="20"/>
        </w:rPr>
        <w:t xml:space="preserve">Stover, C. S., &amp; </w:t>
      </w:r>
      <w:proofErr w:type="spellStart"/>
      <w:r>
        <w:rPr>
          <w:sz w:val="20"/>
          <w:szCs w:val="20"/>
        </w:rPr>
        <w:t>Morgos</w:t>
      </w:r>
      <w:proofErr w:type="spellEnd"/>
      <w:r>
        <w:rPr>
          <w:sz w:val="20"/>
          <w:szCs w:val="20"/>
        </w:rPr>
        <w:t xml:space="preserve">, D. (2013). Fatherhood and intimate partner violence: Bringing the parenting role into intervention strategies. </w:t>
      </w:r>
      <w:r>
        <w:rPr>
          <w:i/>
          <w:iCs/>
          <w:sz w:val="20"/>
          <w:szCs w:val="20"/>
        </w:rPr>
        <w:t>Professional Psychology: Research and Practice, 44</w:t>
      </w:r>
      <w:r>
        <w:rPr>
          <w:sz w:val="20"/>
          <w:szCs w:val="20"/>
        </w:rPr>
        <w:t>(4), 247–256. https://doi.org/10.1037/a0031837</w:t>
      </w:r>
    </w:p>
    <w:p w14:paraId="242B4257" w14:textId="77777777" w:rsidR="00E63D5B" w:rsidRDefault="001F059D">
      <w:pPr>
        <w:spacing w:after="80" w:line="240" w:lineRule="auto"/>
        <w:ind w:left="567" w:hanging="567"/>
        <w:jc w:val="left"/>
      </w:pPr>
      <w:r>
        <w:rPr>
          <w:sz w:val="20"/>
          <w:szCs w:val="20"/>
        </w:rPr>
        <w:t xml:space="preserve">Stubbs, A., &amp; </w:t>
      </w:r>
      <w:proofErr w:type="spellStart"/>
      <w:r>
        <w:rPr>
          <w:sz w:val="20"/>
          <w:szCs w:val="20"/>
        </w:rPr>
        <w:t>Szoeke</w:t>
      </w:r>
      <w:proofErr w:type="spellEnd"/>
      <w:r>
        <w:rPr>
          <w:sz w:val="20"/>
          <w:szCs w:val="20"/>
        </w:rPr>
        <w:t xml:space="preserve">, C. (2022). </w:t>
      </w:r>
      <w:r>
        <w:rPr>
          <w:i/>
          <w:iCs/>
          <w:sz w:val="20"/>
          <w:szCs w:val="20"/>
        </w:rPr>
        <w:t>The Effect of Intimate Partner Violence on the Physical Health and Health-Related Behaviors of Women: A Systematic Review of the Literature</w:t>
      </w:r>
      <w:r>
        <w:rPr>
          <w:sz w:val="20"/>
          <w:szCs w:val="20"/>
        </w:rPr>
        <w:t>. Trauma, Violence, &amp; Abuse, 23(4), 1157–1172. https://doi.org/10.1177/1524838020985541</w:t>
      </w:r>
    </w:p>
    <w:p w14:paraId="2A9CCE3C" w14:textId="77777777" w:rsidR="00E63D5B" w:rsidRDefault="001F059D">
      <w:pPr>
        <w:spacing w:after="80" w:line="240" w:lineRule="auto"/>
        <w:ind w:left="567" w:hanging="567"/>
        <w:jc w:val="left"/>
      </w:pPr>
      <w:proofErr w:type="spellStart"/>
      <w:r>
        <w:rPr>
          <w:sz w:val="20"/>
          <w:szCs w:val="20"/>
        </w:rPr>
        <w:t>Suardi</w:t>
      </w:r>
      <w:proofErr w:type="spellEnd"/>
      <w:r>
        <w:rPr>
          <w:sz w:val="20"/>
          <w:szCs w:val="20"/>
        </w:rPr>
        <w:t xml:space="preserve">, F., Moser, D. A., Sancho Rossignol, A., Manini, A., Vital, M., </w:t>
      </w:r>
      <w:proofErr w:type="spellStart"/>
      <w:r>
        <w:rPr>
          <w:sz w:val="20"/>
          <w:szCs w:val="20"/>
        </w:rPr>
        <w:t>Merminod</w:t>
      </w:r>
      <w:proofErr w:type="spellEnd"/>
      <w:r>
        <w:rPr>
          <w:sz w:val="20"/>
          <w:szCs w:val="20"/>
        </w:rPr>
        <w:t>, G., Kreis, A., Ansermet, F., Rusconi Serpa, S., &amp; Schechter, D. S. (2020). Maternal reflective functioning, interpersonal violence-related posttraumatic stress disorder, and risk for psychopathology in early childhood. Attachment &amp; Human Development, 22(2), 225–245. https://doi.org/10.1080/14616734.2018.1555602</w:t>
      </w:r>
    </w:p>
    <w:p w14:paraId="5CA0AA56" w14:textId="77777777" w:rsidR="00E63D5B" w:rsidRDefault="001F059D">
      <w:pPr>
        <w:spacing w:after="80" w:line="240" w:lineRule="auto"/>
        <w:ind w:left="567" w:hanging="567"/>
        <w:jc w:val="left"/>
      </w:pPr>
      <w:r>
        <w:rPr>
          <w:sz w:val="20"/>
          <w:szCs w:val="20"/>
        </w:rPr>
        <w:t xml:space="preserve">Substance Abuse and Mental Health Services Administration [SAMHSA]. (2014). </w:t>
      </w:r>
      <w:r>
        <w:rPr>
          <w:i/>
          <w:iCs/>
          <w:sz w:val="20"/>
          <w:szCs w:val="20"/>
        </w:rPr>
        <w:t>SAMHSA's concept of trauma and guidance for a trauma-informed approach</w:t>
      </w:r>
      <w:r>
        <w:rPr>
          <w:sz w:val="20"/>
          <w:szCs w:val="20"/>
        </w:rPr>
        <w:t xml:space="preserve"> (HHS Publication No. SMA 14-4884). SAMHSA.</w:t>
      </w:r>
    </w:p>
    <w:p w14:paraId="1AB39D94" w14:textId="77777777" w:rsidR="00E63D5B" w:rsidRDefault="001F059D">
      <w:pPr>
        <w:spacing w:after="80" w:line="240" w:lineRule="auto"/>
        <w:ind w:left="567" w:hanging="567"/>
        <w:jc w:val="left"/>
      </w:pPr>
      <w:r>
        <w:rPr>
          <w:sz w:val="20"/>
          <w:szCs w:val="20"/>
        </w:rPr>
        <w:t xml:space="preserve">Sullivan, C. M. (2018). Understanding how domestic violence </w:t>
      </w:r>
      <w:proofErr w:type="gramStart"/>
      <w:r>
        <w:rPr>
          <w:sz w:val="20"/>
          <w:szCs w:val="20"/>
        </w:rPr>
        <w:t>support</w:t>
      </w:r>
      <w:proofErr w:type="gramEnd"/>
      <w:r>
        <w:rPr>
          <w:sz w:val="20"/>
          <w:szCs w:val="20"/>
        </w:rPr>
        <w:t xml:space="preserve"> services promote survivor well-being: A conceptual model. Journal of Family Violence, 33(2), 123–131.</w:t>
      </w:r>
    </w:p>
    <w:p w14:paraId="77B105A9" w14:textId="77777777" w:rsidR="00E63D5B" w:rsidRDefault="001F059D">
      <w:pPr>
        <w:spacing w:after="80" w:line="240" w:lineRule="auto"/>
        <w:ind w:left="567" w:hanging="567"/>
        <w:jc w:val="left"/>
      </w:pPr>
      <w:r>
        <w:rPr>
          <w:sz w:val="20"/>
          <w:szCs w:val="20"/>
        </w:rPr>
        <w:t>Sullivan, C. M., &amp; Goodman, L. A. (2019). Advocacy With Survivors of Intimate Partner Violence: What It Is, What It Isn't, and Why It's Critically Important. Violence against women, 25(16), 2007–2023. https://doi.org/10.1177/1077801219875826</w:t>
      </w:r>
    </w:p>
    <w:p w14:paraId="5D332EDC" w14:textId="77777777" w:rsidR="00E63D5B" w:rsidRDefault="001F059D">
      <w:pPr>
        <w:spacing w:after="80" w:line="240" w:lineRule="auto"/>
        <w:ind w:left="567" w:hanging="567"/>
        <w:jc w:val="left"/>
      </w:pPr>
      <w:r>
        <w:rPr>
          <w:sz w:val="20"/>
          <w:szCs w:val="20"/>
        </w:rPr>
        <w:t xml:space="preserve">Sweet, P. L. (2019). The sociology of gaslighting. </w:t>
      </w:r>
      <w:r>
        <w:rPr>
          <w:i/>
          <w:iCs/>
          <w:sz w:val="20"/>
          <w:szCs w:val="20"/>
        </w:rPr>
        <w:t>American Sociological Review, 84</w:t>
      </w:r>
      <w:r>
        <w:rPr>
          <w:sz w:val="20"/>
          <w:szCs w:val="20"/>
        </w:rPr>
        <w:t>(5), 851–875. https://psycnet.apa.org/doi/10.1177/0003122419874843</w:t>
      </w:r>
    </w:p>
    <w:p w14:paraId="0F99A18A" w14:textId="77777777" w:rsidR="00E63D5B" w:rsidRDefault="001F059D">
      <w:pPr>
        <w:spacing w:after="80" w:line="240" w:lineRule="auto"/>
        <w:ind w:left="567" w:hanging="567"/>
        <w:jc w:val="left"/>
      </w:pPr>
      <w:proofErr w:type="spellStart"/>
      <w:r>
        <w:rPr>
          <w:sz w:val="20"/>
          <w:szCs w:val="20"/>
        </w:rPr>
        <w:t>Tamiolaki</w:t>
      </w:r>
      <w:proofErr w:type="spellEnd"/>
      <w:r>
        <w:rPr>
          <w:sz w:val="20"/>
          <w:szCs w:val="20"/>
        </w:rPr>
        <w:t xml:space="preserve">, A., </w:t>
      </w:r>
      <w:proofErr w:type="spellStart"/>
      <w:r>
        <w:rPr>
          <w:sz w:val="20"/>
          <w:szCs w:val="20"/>
        </w:rPr>
        <w:t>Kalaitzaki</w:t>
      </w:r>
      <w:proofErr w:type="spellEnd"/>
      <w:r>
        <w:rPr>
          <w:sz w:val="20"/>
          <w:szCs w:val="20"/>
        </w:rPr>
        <w:t xml:space="preserve">, A., &amp; </w:t>
      </w:r>
      <w:proofErr w:type="spellStart"/>
      <w:r>
        <w:rPr>
          <w:sz w:val="20"/>
          <w:szCs w:val="20"/>
        </w:rPr>
        <w:t>Benioudakis</w:t>
      </w:r>
      <w:proofErr w:type="spellEnd"/>
      <w:r>
        <w:rPr>
          <w:sz w:val="20"/>
          <w:szCs w:val="20"/>
        </w:rPr>
        <w:t xml:space="preserve">, E. (2026). </w:t>
      </w:r>
      <w:r>
        <w:rPr>
          <w:i/>
          <w:iCs/>
          <w:sz w:val="20"/>
          <w:szCs w:val="20"/>
        </w:rPr>
        <w:t>Psychometric evaluation of the Greek version of the PTGI during COVID-19 pandemic</w:t>
      </w:r>
      <w:r>
        <w:rPr>
          <w:sz w:val="20"/>
          <w:szCs w:val="20"/>
        </w:rPr>
        <w:t xml:space="preserve">. </w:t>
      </w:r>
      <w:r>
        <w:rPr>
          <w:i/>
          <w:iCs/>
          <w:sz w:val="20"/>
          <w:szCs w:val="20"/>
        </w:rPr>
        <w:t>Research on Social Work Practice, 36</w:t>
      </w:r>
      <w:r>
        <w:rPr>
          <w:sz w:val="20"/>
          <w:szCs w:val="20"/>
        </w:rPr>
        <w:t>(5), 734–746. https://doi.org/10.1177/10497315251330869</w:t>
      </w:r>
    </w:p>
    <w:p w14:paraId="13D6E907" w14:textId="77777777" w:rsidR="00E63D5B" w:rsidRDefault="001F059D">
      <w:pPr>
        <w:spacing w:after="80" w:line="240" w:lineRule="auto"/>
        <w:ind w:left="567" w:hanging="567"/>
        <w:jc w:val="left"/>
      </w:pPr>
      <w:r>
        <w:rPr>
          <w:sz w:val="20"/>
          <w:szCs w:val="20"/>
        </w:rPr>
        <w:lastRenderedPageBreak/>
        <w:t xml:space="preserve">Tedeschi, R. G., &amp; Calhoun, L. G. (1996). </w:t>
      </w:r>
      <w:r>
        <w:rPr>
          <w:i/>
          <w:iCs/>
          <w:sz w:val="20"/>
          <w:szCs w:val="20"/>
        </w:rPr>
        <w:t>The Posttraumatic Growth Inventory: Measuring the Positive Legacy of Trauma.</w:t>
      </w:r>
      <w:r>
        <w:rPr>
          <w:sz w:val="20"/>
          <w:szCs w:val="20"/>
        </w:rPr>
        <w:t xml:space="preserve"> Journal of Traumatic Stress, 9(3), 455–471. https://pubmed.ncbi.nlm.nih.gov/8827649</w:t>
      </w:r>
    </w:p>
    <w:p w14:paraId="36B6665E" w14:textId="77777777" w:rsidR="00E63D5B" w:rsidRDefault="001F059D">
      <w:pPr>
        <w:spacing w:after="80" w:line="240" w:lineRule="auto"/>
        <w:ind w:left="567" w:hanging="567"/>
        <w:jc w:val="left"/>
      </w:pPr>
      <w:r>
        <w:rPr>
          <w:sz w:val="20"/>
          <w:szCs w:val="20"/>
        </w:rPr>
        <w:t xml:space="preserve">Tedeschi, R. G., &amp; Calhoun, L. G. (2004). Posttraumatic growth: Conceptual foundations and empirical evidence. </w:t>
      </w:r>
      <w:r>
        <w:rPr>
          <w:i/>
          <w:iCs/>
          <w:sz w:val="20"/>
          <w:szCs w:val="20"/>
        </w:rPr>
        <w:t>Psychological Inquiry, 15</w:t>
      </w:r>
      <w:r>
        <w:rPr>
          <w:sz w:val="20"/>
          <w:szCs w:val="20"/>
        </w:rPr>
        <w:t>(1), 1–18. https://doi.org/10.1207/s15327965pli1501_01</w:t>
      </w:r>
    </w:p>
    <w:p w14:paraId="0E82002A" w14:textId="77777777" w:rsidR="00E63D5B" w:rsidRDefault="001F059D">
      <w:pPr>
        <w:spacing w:after="80" w:line="240" w:lineRule="auto"/>
        <w:ind w:left="567" w:hanging="567"/>
        <w:jc w:val="left"/>
      </w:pPr>
      <w:r>
        <w:rPr>
          <w:sz w:val="20"/>
          <w:szCs w:val="20"/>
        </w:rPr>
        <w:t xml:space="preserve">Tedeschi, R. G., Shakespeare-Finch, J., Taku, K., &amp; Calhoun, L. G. (2018). </w:t>
      </w:r>
      <w:r>
        <w:rPr>
          <w:i/>
          <w:iCs/>
          <w:sz w:val="20"/>
          <w:szCs w:val="20"/>
        </w:rPr>
        <w:t>Posttraumatic growth: Theory, research, and applications</w:t>
      </w:r>
      <w:r>
        <w:rPr>
          <w:sz w:val="20"/>
          <w:szCs w:val="20"/>
        </w:rPr>
        <w:t>. Routledge.</w:t>
      </w:r>
    </w:p>
    <w:p w14:paraId="2C4D00D5" w14:textId="77777777" w:rsidR="00E63D5B" w:rsidRDefault="001F059D">
      <w:pPr>
        <w:spacing w:after="80" w:line="240" w:lineRule="auto"/>
        <w:ind w:left="567" w:hanging="567"/>
        <w:jc w:val="left"/>
      </w:pPr>
      <w:r>
        <w:rPr>
          <w:sz w:val="20"/>
          <w:szCs w:val="20"/>
        </w:rPr>
        <w:t xml:space="preserve">Thiel, F., </w:t>
      </w:r>
      <w:proofErr w:type="spellStart"/>
      <w:r>
        <w:rPr>
          <w:sz w:val="20"/>
          <w:szCs w:val="20"/>
        </w:rPr>
        <w:t>Büechl</w:t>
      </w:r>
      <w:proofErr w:type="spellEnd"/>
      <w:r>
        <w:rPr>
          <w:sz w:val="20"/>
          <w:szCs w:val="20"/>
        </w:rPr>
        <w:t xml:space="preserve">, V. C. S., Rehberg, F., </w:t>
      </w:r>
      <w:proofErr w:type="spellStart"/>
      <w:r>
        <w:rPr>
          <w:sz w:val="20"/>
          <w:szCs w:val="20"/>
        </w:rPr>
        <w:t>Mojahed</w:t>
      </w:r>
      <w:proofErr w:type="spellEnd"/>
      <w:r>
        <w:rPr>
          <w:sz w:val="20"/>
          <w:szCs w:val="20"/>
        </w:rPr>
        <w:t xml:space="preserve">, A., Daniels, J. K., </w:t>
      </w:r>
      <w:proofErr w:type="spellStart"/>
      <w:r>
        <w:rPr>
          <w:sz w:val="20"/>
          <w:szCs w:val="20"/>
        </w:rPr>
        <w:t>Schellong</w:t>
      </w:r>
      <w:proofErr w:type="spellEnd"/>
      <w:r>
        <w:rPr>
          <w:sz w:val="20"/>
          <w:szCs w:val="20"/>
        </w:rPr>
        <w:t xml:space="preserve">, J., &amp; </w:t>
      </w:r>
      <w:proofErr w:type="spellStart"/>
      <w:r>
        <w:rPr>
          <w:sz w:val="20"/>
          <w:szCs w:val="20"/>
        </w:rPr>
        <w:t>Garthus</w:t>
      </w:r>
      <w:proofErr w:type="spellEnd"/>
      <w:r>
        <w:rPr>
          <w:sz w:val="20"/>
          <w:szCs w:val="20"/>
        </w:rPr>
        <w:t xml:space="preserve">-Niegel, S. (2022). </w:t>
      </w:r>
      <w:r>
        <w:rPr>
          <w:i/>
          <w:iCs/>
          <w:sz w:val="20"/>
          <w:szCs w:val="20"/>
        </w:rPr>
        <w:t>Changes in Prevalence and Severity of Domestic Violence During the COVID-19 Pandemic: A Systematic Review</w:t>
      </w:r>
      <w:r>
        <w:rPr>
          <w:sz w:val="20"/>
          <w:szCs w:val="20"/>
        </w:rPr>
        <w:t>. Frontiers in Psychiatry, 13, 874183 https://doi.org/10.3389/fpsyt.2022.874183</w:t>
      </w:r>
    </w:p>
    <w:p w14:paraId="2125C05A" w14:textId="77777777" w:rsidR="00E63D5B" w:rsidRDefault="001F059D">
      <w:pPr>
        <w:spacing w:after="80" w:line="240" w:lineRule="auto"/>
        <w:ind w:left="567" w:hanging="567"/>
        <w:jc w:val="left"/>
      </w:pPr>
      <w:r>
        <w:rPr>
          <w:sz w:val="20"/>
          <w:szCs w:val="20"/>
        </w:rPr>
        <w:t>Tracy, M., Salo, M., &amp; Appleton, A. A. (2018). The mitigating effects of maternal social support and paternal involvement on the intergenerational transmission of violence. Child Abuse &amp; Neglect, 78, 46–59. https://doi.org/10.1016/j.chiabu.2017.09.023</w:t>
      </w:r>
    </w:p>
    <w:p w14:paraId="4050EF6C" w14:textId="77777777" w:rsidR="00E63D5B" w:rsidRDefault="001F059D">
      <w:pPr>
        <w:spacing w:after="80" w:line="240" w:lineRule="auto"/>
        <w:ind w:left="567" w:hanging="567"/>
        <w:jc w:val="left"/>
      </w:pPr>
      <w:r>
        <w:rPr>
          <w:sz w:val="20"/>
          <w:szCs w:val="20"/>
        </w:rPr>
        <w:t xml:space="preserve">Travers, Á., McDonagh, T., Cunningham, T., </w:t>
      </w:r>
      <w:proofErr w:type="spellStart"/>
      <w:r>
        <w:rPr>
          <w:sz w:val="20"/>
          <w:szCs w:val="20"/>
        </w:rPr>
        <w:t>Armour</w:t>
      </w:r>
      <w:proofErr w:type="spellEnd"/>
      <w:r>
        <w:rPr>
          <w:sz w:val="20"/>
          <w:szCs w:val="20"/>
        </w:rPr>
        <w:t>, C., &amp; Hansen, M. (2021). The effectiveness of interventions to prevent recidivism in perpetrators of intimate partner violence: A systematic review and meta-analysis. Clinical Psychology Review, 84, Article 101974. https://doi.org/10.1016/j.cpr.2021.101974</w:t>
      </w:r>
    </w:p>
    <w:p w14:paraId="7BFDDAF2" w14:textId="77777777" w:rsidR="00E63D5B" w:rsidRDefault="001F059D">
      <w:pPr>
        <w:spacing w:after="80" w:line="240" w:lineRule="auto"/>
        <w:ind w:left="567" w:hanging="567"/>
        <w:jc w:val="left"/>
      </w:pPr>
      <w:r>
        <w:rPr>
          <w:sz w:val="20"/>
          <w:szCs w:val="20"/>
        </w:rPr>
        <w:t xml:space="preserve">Turrini, G., </w:t>
      </w:r>
      <w:proofErr w:type="spellStart"/>
      <w:r>
        <w:rPr>
          <w:sz w:val="20"/>
          <w:szCs w:val="20"/>
        </w:rPr>
        <w:t>Purgato</w:t>
      </w:r>
      <w:proofErr w:type="spellEnd"/>
      <w:r>
        <w:rPr>
          <w:sz w:val="20"/>
          <w:szCs w:val="20"/>
        </w:rPr>
        <w:t xml:space="preserve">, M., </w:t>
      </w:r>
      <w:proofErr w:type="spellStart"/>
      <w:r>
        <w:rPr>
          <w:sz w:val="20"/>
          <w:szCs w:val="20"/>
        </w:rPr>
        <w:t>Cadorin</w:t>
      </w:r>
      <w:proofErr w:type="spellEnd"/>
      <w:r>
        <w:rPr>
          <w:sz w:val="20"/>
          <w:szCs w:val="20"/>
        </w:rPr>
        <w:t xml:space="preserve">, C., Bartucz, M., </w:t>
      </w:r>
      <w:proofErr w:type="spellStart"/>
      <w:r>
        <w:rPr>
          <w:sz w:val="20"/>
          <w:szCs w:val="20"/>
        </w:rPr>
        <w:t>Cristofalo</w:t>
      </w:r>
      <w:proofErr w:type="spellEnd"/>
      <w:r>
        <w:rPr>
          <w:sz w:val="20"/>
          <w:szCs w:val="20"/>
        </w:rPr>
        <w:t xml:space="preserve">, D., </w:t>
      </w:r>
      <w:proofErr w:type="spellStart"/>
      <w:r>
        <w:rPr>
          <w:sz w:val="20"/>
          <w:szCs w:val="20"/>
        </w:rPr>
        <w:t>Gastaldon</w:t>
      </w:r>
      <w:proofErr w:type="spellEnd"/>
      <w:r>
        <w:rPr>
          <w:sz w:val="20"/>
          <w:szCs w:val="20"/>
        </w:rPr>
        <w:t xml:space="preserve">, C., </w:t>
      </w:r>
      <w:proofErr w:type="spellStart"/>
      <w:r>
        <w:rPr>
          <w:sz w:val="20"/>
          <w:szCs w:val="20"/>
        </w:rPr>
        <w:t>Nosè</w:t>
      </w:r>
      <w:proofErr w:type="spellEnd"/>
      <w:r>
        <w:rPr>
          <w:sz w:val="20"/>
          <w:szCs w:val="20"/>
        </w:rPr>
        <w:t xml:space="preserve">, M., Ostuzzi, G., Papola, D., Prina, E., Tedeschi, F., Witteveen, A. B., </w:t>
      </w:r>
      <w:proofErr w:type="spellStart"/>
      <w:r>
        <w:rPr>
          <w:sz w:val="20"/>
          <w:szCs w:val="20"/>
        </w:rPr>
        <w:t>Sijbrandij</w:t>
      </w:r>
      <w:proofErr w:type="spellEnd"/>
      <w:r>
        <w:rPr>
          <w:sz w:val="20"/>
          <w:szCs w:val="20"/>
        </w:rPr>
        <w:t xml:space="preserve">, M., &amp; Barbui, C. (2025). Comparative efficacy and acceptability of psychosocial interventions for PTSD, depression, and anxiety in asylum seekers, refugees, and other migrant populations: A systematic review and network meta-analysis of </w:t>
      </w:r>
      <w:proofErr w:type="spellStart"/>
      <w:r>
        <w:rPr>
          <w:sz w:val="20"/>
          <w:szCs w:val="20"/>
        </w:rPr>
        <w:t>randomised</w:t>
      </w:r>
      <w:proofErr w:type="spellEnd"/>
      <w:r>
        <w:rPr>
          <w:sz w:val="20"/>
          <w:szCs w:val="20"/>
        </w:rPr>
        <w:t xml:space="preserve"> controlled studies. The Lancet Regional Health - Europe, 48, 101152. https://doi.org/10.1016/j.lanepe.2024.101152</w:t>
      </w:r>
    </w:p>
    <w:p w14:paraId="54C57883" w14:textId="77777777" w:rsidR="00E63D5B" w:rsidRDefault="001F059D">
      <w:pPr>
        <w:spacing w:after="80" w:line="240" w:lineRule="auto"/>
        <w:ind w:left="567" w:hanging="567"/>
        <w:jc w:val="left"/>
      </w:pPr>
      <w:r>
        <w:rPr>
          <w:sz w:val="20"/>
          <w:szCs w:val="20"/>
        </w:rPr>
        <w:t xml:space="preserve">Ullman, C., Amin, A., Bourassa, A., Chandarana, S., Dutra, F., &amp; Ellsberg, M. (2025). Interventions to prevent violence against women and girls globally: a global systematic review of reviews to update the RESPECT women framework. </w:t>
      </w:r>
      <w:r>
        <w:rPr>
          <w:i/>
          <w:iCs/>
          <w:sz w:val="20"/>
          <w:szCs w:val="20"/>
        </w:rPr>
        <w:t>BMJ public health</w:t>
      </w:r>
      <w:r>
        <w:rPr>
          <w:sz w:val="20"/>
          <w:szCs w:val="20"/>
        </w:rPr>
        <w:t xml:space="preserve">, </w:t>
      </w:r>
      <w:r>
        <w:rPr>
          <w:i/>
          <w:iCs/>
          <w:sz w:val="20"/>
          <w:szCs w:val="20"/>
        </w:rPr>
        <w:t>3</w:t>
      </w:r>
      <w:r>
        <w:rPr>
          <w:sz w:val="20"/>
          <w:szCs w:val="20"/>
        </w:rPr>
        <w:t>(1), e001126. https://doi.org/10.1136/bmjph-2024-001126</w:t>
      </w:r>
    </w:p>
    <w:p w14:paraId="36AD2A82" w14:textId="77777777" w:rsidR="00E63D5B" w:rsidRDefault="001F059D">
      <w:pPr>
        <w:spacing w:after="80" w:line="240" w:lineRule="auto"/>
        <w:ind w:left="567" w:hanging="567"/>
        <w:jc w:val="left"/>
      </w:pPr>
      <w:r>
        <w:rPr>
          <w:sz w:val="20"/>
          <w:szCs w:val="20"/>
        </w:rPr>
        <w:t xml:space="preserve">UNHCR. (2023). </w:t>
      </w:r>
      <w:r>
        <w:rPr>
          <w:i/>
          <w:iCs/>
          <w:sz w:val="20"/>
          <w:szCs w:val="20"/>
        </w:rPr>
        <w:t>Strengthening mental health and psychosocial support in UNHCR: Annual report 2023</w:t>
      </w:r>
      <w:r>
        <w:rPr>
          <w:sz w:val="20"/>
          <w:szCs w:val="20"/>
        </w:rPr>
        <w:t>. https://www.unhcr.org</w:t>
      </w:r>
    </w:p>
    <w:p w14:paraId="2C448CCD" w14:textId="77777777" w:rsidR="00E63D5B" w:rsidRDefault="001F059D">
      <w:pPr>
        <w:spacing w:after="80" w:line="240" w:lineRule="auto"/>
        <w:ind w:left="567" w:hanging="567"/>
        <w:jc w:val="left"/>
      </w:pPr>
      <w:r>
        <w:rPr>
          <w:sz w:val="20"/>
          <w:szCs w:val="20"/>
        </w:rPr>
        <w:t xml:space="preserve">United Nations. (1979). </w:t>
      </w:r>
      <w:r>
        <w:rPr>
          <w:i/>
          <w:iCs/>
          <w:sz w:val="20"/>
          <w:szCs w:val="20"/>
        </w:rPr>
        <w:t>Convention on the Elimination of All Forms of Discrimination against Women (CEDAW)</w:t>
      </w:r>
      <w:r>
        <w:rPr>
          <w:sz w:val="20"/>
          <w:szCs w:val="20"/>
        </w:rPr>
        <w:t>. https://www.ohchr.org/en/instruments-mechanisms/instruments/convention-elimination-all-forms-discrimination-against-women</w:t>
      </w:r>
    </w:p>
    <w:p w14:paraId="5CDA6A90" w14:textId="77777777" w:rsidR="00E63D5B" w:rsidRDefault="001F059D">
      <w:pPr>
        <w:spacing w:after="80" w:line="240" w:lineRule="auto"/>
        <w:ind w:left="567" w:hanging="567"/>
        <w:jc w:val="left"/>
      </w:pPr>
      <w:r>
        <w:rPr>
          <w:sz w:val="20"/>
          <w:szCs w:val="20"/>
        </w:rPr>
        <w:t xml:space="preserve">United Nations. (1989). </w:t>
      </w:r>
      <w:r>
        <w:rPr>
          <w:i/>
          <w:iCs/>
          <w:sz w:val="20"/>
          <w:szCs w:val="20"/>
        </w:rPr>
        <w:t>Convention on the Rights of the Child</w:t>
      </w:r>
      <w:r>
        <w:rPr>
          <w:sz w:val="20"/>
          <w:szCs w:val="20"/>
        </w:rPr>
        <w:t>. https://www.ohchr.org/en/instruments-mechanisms/instruments/convention-rights-child</w:t>
      </w:r>
    </w:p>
    <w:p w14:paraId="42370B33" w14:textId="77777777" w:rsidR="00E63D5B" w:rsidRDefault="001F059D">
      <w:pPr>
        <w:spacing w:after="80" w:line="240" w:lineRule="auto"/>
        <w:ind w:left="567" w:hanging="567"/>
        <w:jc w:val="left"/>
      </w:pPr>
      <w:r>
        <w:rPr>
          <w:sz w:val="20"/>
          <w:szCs w:val="20"/>
        </w:rPr>
        <w:t xml:space="preserve">United Nations. (2000). </w:t>
      </w:r>
      <w:r>
        <w:rPr>
          <w:i/>
          <w:iCs/>
          <w:sz w:val="20"/>
          <w:szCs w:val="20"/>
        </w:rPr>
        <w:t>Protocol to prevent, suppress and punish trafficking in persons, especially women and children, supplementing the United Nations Convention against Transnational Organized Crime</w:t>
      </w:r>
      <w:r>
        <w:rPr>
          <w:sz w:val="20"/>
          <w:szCs w:val="20"/>
        </w:rPr>
        <w:t>. https://www.ohchr.org/en/instruments-mechanisms/instruments/protocol-prevent-suppress-and-punish-trafficking-persons</w:t>
      </w:r>
    </w:p>
    <w:p w14:paraId="54B58B27" w14:textId="77777777" w:rsidR="00E63D5B" w:rsidRDefault="001F059D">
      <w:pPr>
        <w:spacing w:after="80" w:line="240" w:lineRule="auto"/>
        <w:ind w:left="567" w:hanging="567"/>
        <w:jc w:val="left"/>
      </w:pPr>
      <w:r>
        <w:rPr>
          <w:sz w:val="20"/>
          <w:szCs w:val="20"/>
        </w:rPr>
        <w:t xml:space="preserve">United Nations Children’s Fund (2025, November 25). </w:t>
      </w:r>
      <w:r>
        <w:rPr>
          <w:i/>
          <w:iCs/>
          <w:sz w:val="20"/>
          <w:szCs w:val="20"/>
        </w:rPr>
        <w:t>Children's exposure to intimate partner violence against their mothers pervasive worldwide</w:t>
      </w:r>
      <w:r>
        <w:rPr>
          <w:sz w:val="20"/>
          <w:szCs w:val="20"/>
        </w:rPr>
        <w:t>. UNICEF. https://www.unicef.org/press-releases/childrens-exposure-intimate-partner-violence-against-their-mothers-pervasive</w:t>
      </w:r>
    </w:p>
    <w:p w14:paraId="53A83906" w14:textId="77777777" w:rsidR="00E63D5B" w:rsidRDefault="001F059D">
      <w:pPr>
        <w:spacing w:after="80" w:line="240" w:lineRule="auto"/>
        <w:ind w:left="567" w:hanging="567"/>
        <w:jc w:val="left"/>
      </w:pPr>
      <w:r>
        <w:rPr>
          <w:sz w:val="20"/>
          <w:szCs w:val="20"/>
        </w:rPr>
        <w:t xml:space="preserve">United Nations Children's Fund [UNICEF]. (2006). </w:t>
      </w:r>
      <w:r>
        <w:rPr>
          <w:i/>
          <w:iCs/>
          <w:sz w:val="20"/>
          <w:szCs w:val="20"/>
        </w:rPr>
        <w:t>Behind closed doors: The impact of domestic violence on children</w:t>
      </w:r>
      <w:r>
        <w:rPr>
          <w:sz w:val="20"/>
          <w:szCs w:val="20"/>
        </w:rPr>
        <w:t>. UNICEF.</w:t>
      </w:r>
    </w:p>
    <w:p w14:paraId="77A07D8F" w14:textId="77777777" w:rsidR="00E63D5B" w:rsidRDefault="001F059D">
      <w:pPr>
        <w:spacing w:after="80" w:line="240" w:lineRule="auto"/>
        <w:ind w:left="567" w:hanging="567"/>
        <w:jc w:val="left"/>
      </w:pPr>
      <w:r>
        <w:rPr>
          <w:sz w:val="20"/>
          <w:szCs w:val="20"/>
        </w:rPr>
        <w:t xml:space="preserve">United Nations Division for the Advancement of Women. (2009). </w:t>
      </w:r>
      <w:r>
        <w:rPr>
          <w:i/>
          <w:iCs/>
          <w:sz w:val="20"/>
          <w:szCs w:val="20"/>
        </w:rPr>
        <w:t>Good practices in legislation to address harmful practices against women</w:t>
      </w:r>
      <w:r>
        <w:rPr>
          <w:sz w:val="20"/>
          <w:szCs w:val="20"/>
        </w:rPr>
        <w:t xml:space="preserve"> (Report of the expert group meeting). United Nations.</w:t>
      </w:r>
    </w:p>
    <w:p w14:paraId="62FDC3BE" w14:textId="77777777" w:rsidR="00E63D5B" w:rsidRDefault="001F059D">
      <w:pPr>
        <w:spacing w:after="80" w:line="240" w:lineRule="auto"/>
        <w:ind w:left="567" w:hanging="567"/>
        <w:jc w:val="left"/>
      </w:pPr>
      <w:r>
        <w:rPr>
          <w:sz w:val="20"/>
          <w:szCs w:val="20"/>
        </w:rPr>
        <w:t xml:space="preserve">United Nations General Assembly. (1993, December 20). </w:t>
      </w:r>
      <w:r>
        <w:rPr>
          <w:i/>
          <w:iCs/>
          <w:sz w:val="20"/>
          <w:szCs w:val="20"/>
        </w:rPr>
        <w:t>Declaration on the elimination of violence against women</w:t>
      </w:r>
      <w:r>
        <w:rPr>
          <w:sz w:val="20"/>
          <w:szCs w:val="20"/>
        </w:rPr>
        <w:t xml:space="preserve"> (A/RES/48/104). https://undocs.org/en/A/RES/48/104</w:t>
      </w:r>
    </w:p>
    <w:p w14:paraId="3C4B4656" w14:textId="77777777" w:rsidR="00E63D5B" w:rsidRDefault="001F059D">
      <w:pPr>
        <w:spacing w:after="80" w:line="240" w:lineRule="auto"/>
        <w:ind w:left="567" w:hanging="567"/>
        <w:jc w:val="left"/>
      </w:pPr>
      <w:r>
        <w:rPr>
          <w:sz w:val="20"/>
          <w:szCs w:val="20"/>
        </w:rPr>
        <w:t xml:space="preserve">United Nations General Assembly. (2006). </w:t>
      </w:r>
      <w:r>
        <w:rPr>
          <w:i/>
          <w:iCs/>
          <w:sz w:val="20"/>
          <w:szCs w:val="20"/>
        </w:rPr>
        <w:t>In-depth study on all forms of violence against women: Report of the Secretary-General</w:t>
      </w:r>
      <w:r>
        <w:rPr>
          <w:sz w:val="20"/>
          <w:szCs w:val="20"/>
        </w:rPr>
        <w:t xml:space="preserve"> (A/61/122/Add.1). https://undocs.org/A/61/122/Add.1</w:t>
      </w:r>
    </w:p>
    <w:p w14:paraId="2ED623D1" w14:textId="77777777" w:rsidR="00E63D5B" w:rsidRDefault="001F059D">
      <w:pPr>
        <w:spacing w:after="80" w:line="240" w:lineRule="auto"/>
        <w:ind w:left="567" w:hanging="567"/>
        <w:jc w:val="left"/>
      </w:pPr>
      <w:r>
        <w:rPr>
          <w:sz w:val="20"/>
          <w:szCs w:val="20"/>
        </w:rPr>
        <w:t xml:space="preserve">United Nations Population Fund. (2020). </w:t>
      </w:r>
      <w:r>
        <w:rPr>
          <w:i/>
          <w:iCs/>
          <w:sz w:val="20"/>
          <w:szCs w:val="20"/>
        </w:rPr>
        <w:t>State of world population 2020: Against my will. Defying the practices that harm women and girls and undermine equality</w:t>
      </w:r>
      <w:r>
        <w:rPr>
          <w:sz w:val="20"/>
          <w:szCs w:val="20"/>
        </w:rPr>
        <w:t>. UNFPA.</w:t>
      </w:r>
    </w:p>
    <w:p w14:paraId="6828C2D8" w14:textId="77777777" w:rsidR="00E63D5B" w:rsidRDefault="001F059D">
      <w:pPr>
        <w:spacing w:after="80" w:line="240" w:lineRule="auto"/>
        <w:ind w:left="567" w:hanging="567"/>
        <w:jc w:val="left"/>
      </w:pPr>
      <w:r>
        <w:rPr>
          <w:sz w:val="20"/>
          <w:szCs w:val="20"/>
        </w:rPr>
        <w:t xml:space="preserve">UN Women. (2015). </w:t>
      </w:r>
      <w:r>
        <w:rPr>
          <w:i/>
          <w:iCs/>
          <w:sz w:val="20"/>
          <w:szCs w:val="20"/>
        </w:rPr>
        <w:t>Essential services package for women and girls subject to violence</w:t>
      </w:r>
      <w:r>
        <w:rPr>
          <w:sz w:val="20"/>
          <w:szCs w:val="20"/>
        </w:rPr>
        <w:t>. https://www.unwomen.org/en/digital-library/publications/2015/12/essential-services-package-for-women-and-girls-subject-to-violence</w:t>
      </w:r>
    </w:p>
    <w:p w14:paraId="7EC7C1F7" w14:textId="77777777" w:rsidR="00E63D5B" w:rsidRDefault="001F059D">
      <w:pPr>
        <w:spacing w:after="80" w:line="240" w:lineRule="auto"/>
        <w:ind w:left="567" w:hanging="567"/>
        <w:jc w:val="left"/>
      </w:pPr>
      <w:r>
        <w:rPr>
          <w:sz w:val="20"/>
          <w:szCs w:val="20"/>
        </w:rPr>
        <w:lastRenderedPageBreak/>
        <w:t xml:space="preserve">UNODC, &amp; UN Women. (2023). </w:t>
      </w:r>
      <w:r>
        <w:rPr>
          <w:i/>
          <w:iCs/>
          <w:sz w:val="20"/>
          <w:szCs w:val="20"/>
        </w:rPr>
        <w:t>Gender-related killings of women and girls (femicide/feminicide): Global estimates 2022</w:t>
      </w:r>
      <w:r>
        <w:rPr>
          <w:sz w:val="20"/>
          <w:szCs w:val="20"/>
        </w:rPr>
        <w:t>. United Nations Office on Drugs and Crime.</w:t>
      </w:r>
    </w:p>
    <w:p w14:paraId="50691757" w14:textId="77777777" w:rsidR="00E63D5B" w:rsidRDefault="001F059D">
      <w:pPr>
        <w:spacing w:after="80" w:line="240" w:lineRule="auto"/>
        <w:ind w:left="567" w:hanging="567"/>
        <w:jc w:val="left"/>
      </w:pPr>
      <w:r>
        <w:rPr>
          <w:sz w:val="20"/>
          <w:szCs w:val="20"/>
        </w:rPr>
        <w:t xml:space="preserve">UN Women. (2022a). </w:t>
      </w:r>
      <w:r>
        <w:rPr>
          <w:i/>
          <w:iCs/>
          <w:sz w:val="20"/>
          <w:szCs w:val="20"/>
        </w:rPr>
        <w:t>Ending violence against women</w:t>
      </w:r>
      <w:r>
        <w:rPr>
          <w:sz w:val="20"/>
          <w:szCs w:val="20"/>
        </w:rPr>
        <w:t>. https://www.unwomen.org/en/what-we-do/ending-violence-against-women</w:t>
      </w:r>
    </w:p>
    <w:p w14:paraId="6AB1531F" w14:textId="77777777" w:rsidR="00E63D5B" w:rsidRDefault="001F059D">
      <w:pPr>
        <w:spacing w:after="80" w:line="240" w:lineRule="auto"/>
        <w:ind w:left="567" w:hanging="567"/>
        <w:jc w:val="left"/>
      </w:pPr>
      <w:r>
        <w:rPr>
          <w:sz w:val="20"/>
          <w:szCs w:val="20"/>
        </w:rPr>
        <w:t xml:space="preserve">UN Women. (2022b). </w:t>
      </w:r>
      <w:r>
        <w:rPr>
          <w:i/>
          <w:iCs/>
          <w:sz w:val="20"/>
          <w:szCs w:val="20"/>
        </w:rPr>
        <w:t>Safe consultations with survivors of violence against women and girls</w:t>
      </w:r>
      <w:r>
        <w:rPr>
          <w:sz w:val="20"/>
          <w:szCs w:val="20"/>
        </w:rPr>
        <w:t>. United Nations Entity for Gender Equality and the Empowerment of Women.</w:t>
      </w:r>
    </w:p>
    <w:p w14:paraId="2FCEC965" w14:textId="77777777" w:rsidR="00E63D5B" w:rsidRDefault="001F059D">
      <w:pPr>
        <w:spacing w:after="80" w:line="240" w:lineRule="auto"/>
        <w:ind w:left="567" w:hanging="567"/>
        <w:jc w:val="left"/>
      </w:pPr>
      <w:r>
        <w:rPr>
          <w:sz w:val="20"/>
          <w:szCs w:val="20"/>
        </w:rPr>
        <w:t xml:space="preserve">UN Women, &amp; United Nations Office on Drugs and Crime. (2025). </w:t>
      </w:r>
      <w:r>
        <w:rPr>
          <w:i/>
          <w:iCs/>
          <w:sz w:val="20"/>
          <w:szCs w:val="20"/>
        </w:rPr>
        <w:t>Femicides in 2024: Global estimates of intimate partner/family member femicides</w:t>
      </w:r>
      <w:r>
        <w:rPr>
          <w:sz w:val="20"/>
          <w:szCs w:val="20"/>
        </w:rPr>
        <w:t>. https://www.unwomen.org/en/digital-library/publications/2025/11/femicides-in-2024-global-estimates-of-intimate-partner-family-member-femicides</w:t>
      </w:r>
    </w:p>
    <w:p w14:paraId="2B10E835" w14:textId="77777777" w:rsidR="00E63D5B" w:rsidRDefault="001F059D">
      <w:pPr>
        <w:spacing w:after="80" w:line="240" w:lineRule="auto"/>
        <w:ind w:left="567" w:hanging="567"/>
        <w:jc w:val="left"/>
      </w:pPr>
      <w:r>
        <w:rPr>
          <w:sz w:val="20"/>
          <w:szCs w:val="20"/>
        </w:rPr>
        <w:t xml:space="preserve">UN Women, &amp; World Health Organization. (2023). </w:t>
      </w:r>
      <w:r>
        <w:rPr>
          <w:i/>
          <w:iCs/>
          <w:sz w:val="20"/>
          <w:szCs w:val="20"/>
        </w:rPr>
        <w:t>Technology-facilitated violence against women: Taking stock of evidence and data collection</w:t>
      </w:r>
      <w:r>
        <w:rPr>
          <w:sz w:val="20"/>
          <w:szCs w:val="20"/>
        </w:rPr>
        <w:t>. UN Women.</w:t>
      </w:r>
    </w:p>
    <w:p w14:paraId="42A8FBCA" w14:textId="77777777" w:rsidR="00E63D5B" w:rsidRDefault="001F059D">
      <w:pPr>
        <w:spacing w:after="80" w:line="240" w:lineRule="auto"/>
        <w:ind w:left="567" w:hanging="567"/>
        <w:jc w:val="left"/>
      </w:pPr>
      <w:r>
        <w:rPr>
          <w:sz w:val="20"/>
          <w:szCs w:val="20"/>
        </w:rPr>
        <w:t>Valdez, C. E. &amp; Lilly, M. M. (2015). Posttraumatic Growth in Survivors of Intimate Partner Violence: An Assumptive World Process. Journal of Interpersonal Violence, 30(2), 215–231. https://pubmed.ncbi.nlm.nih.gov/24850765/</w:t>
      </w:r>
    </w:p>
    <w:p w14:paraId="67D0599C" w14:textId="77777777" w:rsidR="00E63D5B" w:rsidRDefault="001F059D">
      <w:pPr>
        <w:spacing w:after="80" w:line="240" w:lineRule="auto"/>
        <w:ind w:left="567" w:hanging="567"/>
        <w:jc w:val="left"/>
      </w:pPr>
      <w:r>
        <w:rPr>
          <w:sz w:val="20"/>
          <w:szCs w:val="20"/>
        </w:rPr>
        <w:t>Valera, E. M., &amp; Berenbaum, H. (2003). Brain injury in battered women. Journal of Consulting and Clinical Psychology, 71(4), 797–804. https://doi.org/10.1037/0022-006X.71.4.797</w:t>
      </w:r>
    </w:p>
    <w:p w14:paraId="3F0A9EB9" w14:textId="77777777" w:rsidR="00E63D5B" w:rsidRDefault="001F059D">
      <w:pPr>
        <w:spacing w:after="80" w:line="240" w:lineRule="auto"/>
        <w:ind w:left="567" w:hanging="567"/>
        <w:jc w:val="left"/>
      </w:pPr>
      <w:r>
        <w:rPr>
          <w:sz w:val="20"/>
          <w:szCs w:val="20"/>
        </w:rPr>
        <w:t xml:space="preserve">Valera, E. M., &amp; </w:t>
      </w:r>
      <w:proofErr w:type="spellStart"/>
      <w:r>
        <w:rPr>
          <w:sz w:val="20"/>
          <w:szCs w:val="20"/>
        </w:rPr>
        <w:t>Kucyi</w:t>
      </w:r>
      <w:proofErr w:type="spellEnd"/>
      <w:r>
        <w:rPr>
          <w:sz w:val="20"/>
          <w:szCs w:val="20"/>
        </w:rPr>
        <w:t>, A. (2017). Brain injury in women experiencing intimate-partner violence: Neural mechanistic evidence of an “invisible” trauma. Brain Imaging and Behavior, 11(6), 1664–1677. https://doi.org/10.1007/s11682-016-9643-1</w:t>
      </w:r>
    </w:p>
    <w:p w14:paraId="1577EC03" w14:textId="77777777" w:rsidR="00E63D5B" w:rsidRDefault="001F059D">
      <w:pPr>
        <w:spacing w:after="80" w:line="240" w:lineRule="auto"/>
        <w:ind w:left="567" w:hanging="567"/>
        <w:jc w:val="left"/>
      </w:pPr>
      <w:r>
        <w:rPr>
          <w:sz w:val="20"/>
          <w:szCs w:val="20"/>
        </w:rPr>
        <w:t xml:space="preserve">Van der Kolk, B. A. (2014). </w:t>
      </w:r>
      <w:r>
        <w:rPr>
          <w:i/>
          <w:iCs/>
          <w:sz w:val="20"/>
          <w:szCs w:val="20"/>
        </w:rPr>
        <w:t>The body keeps the score: Brain, mind, and body in the healing of trauma</w:t>
      </w:r>
      <w:r>
        <w:rPr>
          <w:sz w:val="20"/>
          <w:szCs w:val="20"/>
        </w:rPr>
        <w:t>. Viking.</w:t>
      </w:r>
    </w:p>
    <w:p w14:paraId="34A5E989" w14:textId="77777777" w:rsidR="00E63D5B" w:rsidRDefault="001F059D">
      <w:pPr>
        <w:spacing w:after="80" w:line="240" w:lineRule="auto"/>
        <w:ind w:left="567" w:hanging="567"/>
        <w:jc w:val="left"/>
      </w:pPr>
      <w:r>
        <w:rPr>
          <w:sz w:val="20"/>
          <w:szCs w:val="20"/>
        </w:rPr>
        <w:t xml:space="preserve">Van der Kolk, B. A., Roth, S., </w:t>
      </w:r>
      <w:proofErr w:type="spellStart"/>
      <w:r>
        <w:rPr>
          <w:sz w:val="20"/>
          <w:szCs w:val="20"/>
        </w:rPr>
        <w:t>Pelcovitz</w:t>
      </w:r>
      <w:proofErr w:type="spellEnd"/>
      <w:r>
        <w:rPr>
          <w:sz w:val="20"/>
          <w:szCs w:val="20"/>
        </w:rPr>
        <w:t xml:space="preserve">, D., Sunday, S., &amp; Spinazzola, J. (2005). Disorders of extreme stress: The empirical foundation of a complex adaptation to trauma. </w:t>
      </w:r>
      <w:r>
        <w:rPr>
          <w:i/>
          <w:iCs/>
          <w:sz w:val="20"/>
          <w:szCs w:val="20"/>
        </w:rPr>
        <w:t>Journal of Traumatic Stress, 18</w:t>
      </w:r>
      <w:r>
        <w:rPr>
          <w:sz w:val="20"/>
          <w:szCs w:val="20"/>
        </w:rPr>
        <w:t>(5), 389–399. https://doi.org/10.1002/jts.20047</w:t>
      </w:r>
    </w:p>
    <w:p w14:paraId="5BFCFA52" w14:textId="77777777" w:rsidR="00E63D5B" w:rsidRDefault="001F059D">
      <w:pPr>
        <w:spacing w:after="80" w:line="240" w:lineRule="auto"/>
        <w:ind w:left="567" w:hanging="567"/>
        <w:jc w:val="left"/>
      </w:pPr>
      <w:r>
        <w:rPr>
          <w:sz w:val="20"/>
          <w:szCs w:val="20"/>
        </w:rPr>
        <w:t xml:space="preserve">Van Ee, E., Kleber, R. J., &amp; </w:t>
      </w:r>
      <w:proofErr w:type="spellStart"/>
      <w:r>
        <w:rPr>
          <w:sz w:val="20"/>
          <w:szCs w:val="20"/>
        </w:rPr>
        <w:t>Jongmans</w:t>
      </w:r>
      <w:proofErr w:type="spellEnd"/>
      <w:r>
        <w:rPr>
          <w:sz w:val="20"/>
          <w:szCs w:val="20"/>
        </w:rPr>
        <w:t xml:space="preserve">, M. J. (2016). Relational patterns between caregivers with PTSD and their nonexposed children: A review. </w:t>
      </w:r>
      <w:r>
        <w:rPr>
          <w:i/>
          <w:iCs/>
          <w:sz w:val="20"/>
          <w:szCs w:val="20"/>
        </w:rPr>
        <w:t>Trauma, Violence, &amp; Abuse, 17</w:t>
      </w:r>
      <w:r>
        <w:rPr>
          <w:sz w:val="20"/>
          <w:szCs w:val="20"/>
        </w:rPr>
        <w:t>(2), 186–203. https://doi.org/10.1177/1524838015584355</w:t>
      </w:r>
    </w:p>
    <w:p w14:paraId="131BF58E" w14:textId="77777777" w:rsidR="000956C9" w:rsidRDefault="00F56A84">
      <w:pPr>
        <w:spacing w:after="80" w:line="240" w:lineRule="auto"/>
        <w:ind w:left="567" w:hanging="567"/>
        <w:jc w:val="left"/>
      </w:pPr>
      <w:r>
        <w:rPr>
          <w:sz w:val="20"/>
          <w:szCs w:val="20"/>
        </w:rPr>
        <w:t xml:space="preserve">van </w:t>
      </w:r>
      <w:proofErr w:type="spellStart"/>
      <w:r>
        <w:rPr>
          <w:sz w:val="20"/>
          <w:szCs w:val="20"/>
        </w:rPr>
        <w:t>IJzendoorn</w:t>
      </w:r>
      <w:proofErr w:type="spellEnd"/>
      <w:r>
        <w:rPr>
          <w:sz w:val="20"/>
          <w:szCs w:val="20"/>
        </w:rPr>
        <w:t xml:space="preserve">, M. H. (1992). Intergenerational transmission of parenting: A review of studies in nonclinical populations. </w:t>
      </w:r>
      <w:r>
        <w:rPr>
          <w:i/>
          <w:iCs/>
          <w:sz w:val="20"/>
          <w:szCs w:val="20"/>
        </w:rPr>
        <w:t>Developmental Review, 12</w:t>
      </w:r>
      <w:r>
        <w:rPr>
          <w:sz w:val="20"/>
          <w:szCs w:val="20"/>
        </w:rPr>
        <w:t>(1), 76–99. https://doi.org/10.1016/0273-2297(92)90004-L</w:t>
      </w:r>
    </w:p>
    <w:p w14:paraId="32A8134A" w14:textId="77777777" w:rsidR="000956C9" w:rsidRDefault="00F56A84">
      <w:pPr>
        <w:spacing w:after="80" w:line="240" w:lineRule="auto"/>
        <w:ind w:left="567" w:hanging="567"/>
        <w:jc w:val="left"/>
      </w:pPr>
      <w:r>
        <w:rPr>
          <w:sz w:val="20"/>
          <w:szCs w:val="20"/>
        </w:rPr>
        <w:t xml:space="preserve">van </w:t>
      </w:r>
      <w:proofErr w:type="spellStart"/>
      <w:r>
        <w:rPr>
          <w:sz w:val="20"/>
          <w:szCs w:val="20"/>
        </w:rPr>
        <w:t>IJzendoorn</w:t>
      </w:r>
      <w:proofErr w:type="spellEnd"/>
      <w:r>
        <w:rPr>
          <w:sz w:val="20"/>
          <w:szCs w:val="20"/>
        </w:rPr>
        <w:t xml:space="preserve">, M. H. (1995). Adult attachment representations, parental responsiveness, and infant attachment: A meta-analysis on the predictive validity of the Adult Attachment Interview. </w:t>
      </w:r>
      <w:r>
        <w:rPr>
          <w:i/>
          <w:iCs/>
          <w:sz w:val="20"/>
          <w:szCs w:val="20"/>
        </w:rPr>
        <w:t>Psychological Bulletin, 117</w:t>
      </w:r>
      <w:r>
        <w:rPr>
          <w:sz w:val="20"/>
          <w:szCs w:val="20"/>
        </w:rPr>
        <w:t>(3), 387–403. https://doi.org/10.1037/0033-2909.117.3.387</w:t>
      </w:r>
    </w:p>
    <w:p w14:paraId="74F8DB64" w14:textId="77777777" w:rsidR="000956C9" w:rsidRDefault="00F56A84">
      <w:pPr>
        <w:spacing w:after="80" w:line="240" w:lineRule="auto"/>
        <w:ind w:left="567" w:hanging="567"/>
        <w:jc w:val="left"/>
      </w:pPr>
      <w:r>
        <w:rPr>
          <w:sz w:val="20"/>
          <w:szCs w:val="20"/>
        </w:rPr>
        <w:t xml:space="preserve">Violence Policy Center. (2020). </w:t>
      </w:r>
      <w:r>
        <w:rPr>
          <w:i/>
          <w:iCs/>
          <w:sz w:val="20"/>
          <w:szCs w:val="20"/>
        </w:rPr>
        <w:t>When men murder women: An analysis of 2018 homicide data</w:t>
      </w:r>
      <w:r>
        <w:rPr>
          <w:sz w:val="20"/>
          <w:szCs w:val="20"/>
        </w:rPr>
        <w:t>. https://vpc.org/studies/wmmw2020.pdf</w:t>
      </w:r>
    </w:p>
    <w:p w14:paraId="0A057F8C" w14:textId="77777777" w:rsidR="00E63D5B" w:rsidRDefault="001F059D">
      <w:pPr>
        <w:spacing w:after="80" w:line="240" w:lineRule="auto"/>
        <w:ind w:left="567" w:hanging="567"/>
        <w:jc w:val="left"/>
      </w:pPr>
      <w:r>
        <w:rPr>
          <w:sz w:val="20"/>
          <w:szCs w:val="20"/>
        </w:rPr>
        <w:t xml:space="preserve">Vu, N. L., </w:t>
      </w:r>
      <w:proofErr w:type="spellStart"/>
      <w:r>
        <w:rPr>
          <w:sz w:val="20"/>
          <w:szCs w:val="20"/>
        </w:rPr>
        <w:t>Jouriles</w:t>
      </w:r>
      <w:proofErr w:type="spellEnd"/>
      <w:r>
        <w:rPr>
          <w:sz w:val="20"/>
          <w:szCs w:val="20"/>
        </w:rPr>
        <w:t xml:space="preserve">, E. N., McDonald, R., &amp; Rosenfield, D. (2016). Children's exposure to intimate partner violence: A meta-analysis of longitudinal associations with child adjustment problems. </w:t>
      </w:r>
      <w:r>
        <w:rPr>
          <w:i/>
          <w:iCs/>
          <w:sz w:val="20"/>
          <w:szCs w:val="20"/>
        </w:rPr>
        <w:t>Clinical Psychology Review, 46</w:t>
      </w:r>
      <w:r>
        <w:rPr>
          <w:sz w:val="20"/>
          <w:szCs w:val="20"/>
        </w:rPr>
        <w:t>, 25–33. https://doi.org/10.1016/j.cpr.2016.04.003</w:t>
      </w:r>
    </w:p>
    <w:p w14:paraId="0FFAC6D9" w14:textId="77777777" w:rsidR="00E63D5B" w:rsidRDefault="001F059D">
      <w:pPr>
        <w:spacing w:after="80" w:line="240" w:lineRule="auto"/>
        <w:ind w:left="567" w:hanging="567"/>
        <w:jc w:val="left"/>
      </w:pPr>
      <w:r>
        <w:rPr>
          <w:sz w:val="20"/>
          <w:szCs w:val="20"/>
        </w:rPr>
        <w:t xml:space="preserve">Wadji, D. L., </w:t>
      </w:r>
      <w:proofErr w:type="spellStart"/>
      <w:r>
        <w:rPr>
          <w:sz w:val="20"/>
          <w:szCs w:val="20"/>
        </w:rPr>
        <w:t>Ketcha</w:t>
      </w:r>
      <w:proofErr w:type="spellEnd"/>
      <w:r>
        <w:rPr>
          <w:sz w:val="20"/>
          <w:szCs w:val="20"/>
        </w:rPr>
        <w:t xml:space="preserve"> Wanda, G. J. M., Wicky, C., Morina, N., &amp; Martin-Soelch, C. (2022). From the mother to the child: The intergenerational transmission of experiences of violence in mother–child dyads exposed to intimate partner violence in Cameroon. </w:t>
      </w:r>
      <w:r>
        <w:rPr>
          <w:i/>
          <w:iCs/>
          <w:sz w:val="20"/>
          <w:szCs w:val="20"/>
        </w:rPr>
        <w:t>Journal of Interpersonal Violence, 37</w:t>
      </w:r>
      <w:r>
        <w:rPr>
          <w:sz w:val="20"/>
          <w:szCs w:val="20"/>
        </w:rPr>
        <w:t>(5–6), NP3346–NP3376. https://doi.org/10.1177/0886260520948148</w:t>
      </w:r>
    </w:p>
    <w:p w14:paraId="22AB3406" w14:textId="77777777" w:rsidR="00E63D5B" w:rsidRDefault="001F059D">
      <w:pPr>
        <w:spacing w:after="80" w:line="240" w:lineRule="auto"/>
        <w:ind w:left="567" w:hanging="567"/>
        <w:jc w:val="left"/>
      </w:pPr>
      <w:r>
        <w:rPr>
          <w:sz w:val="20"/>
          <w:szCs w:val="20"/>
        </w:rPr>
        <w:t xml:space="preserve">Walby, S., &amp; Towers, J. (2018). Untangling the concept of coercive control: Theorizing domestic violent crime. </w:t>
      </w:r>
      <w:r>
        <w:rPr>
          <w:i/>
          <w:iCs/>
          <w:sz w:val="20"/>
          <w:szCs w:val="20"/>
        </w:rPr>
        <w:t>Criminology &amp; Criminal Justice, 18</w:t>
      </w:r>
      <w:r>
        <w:rPr>
          <w:sz w:val="20"/>
          <w:szCs w:val="20"/>
        </w:rPr>
        <w:t>(1), 7–28. https://doi.org/10.1177/1748895817743541</w:t>
      </w:r>
    </w:p>
    <w:p w14:paraId="1CF77EB5" w14:textId="77777777" w:rsidR="00E63D5B" w:rsidRDefault="001F059D">
      <w:pPr>
        <w:spacing w:after="80" w:line="240" w:lineRule="auto"/>
        <w:ind w:left="567" w:hanging="567"/>
        <w:jc w:val="left"/>
      </w:pPr>
      <w:r>
        <w:rPr>
          <w:sz w:val="20"/>
          <w:szCs w:val="20"/>
        </w:rPr>
        <w:t xml:space="preserve">Walker, L. E. (1979). </w:t>
      </w:r>
      <w:r>
        <w:rPr>
          <w:i/>
          <w:iCs/>
          <w:sz w:val="20"/>
          <w:szCs w:val="20"/>
        </w:rPr>
        <w:t>The battered woman</w:t>
      </w:r>
      <w:r>
        <w:rPr>
          <w:sz w:val="20"/>
          <w:szCs w:val="20"/>
        </w:rPr>
        <w:t>. Harper &amp; Row.</w:t>
      </w:r>
    </w:p>
    <w:p w14:paraId="5DC4A5E4" w14:textId="77777777" w:rsidR="00E63D5B" w:rsidRDefault="001F059D">
      <w:pPr>
        <w:spacing w:after="80" w:line="240" w:lineRule="auto"/>
        <w:ind w:left="567" w:hanging="567"/>
        <w:jc w:val="left"/>
      </w:pPr>
      <w:r>
        <w:rPr>
          <w:sz w:val="20"/>
          <w:szCs w:val="20"/>
        </w:rPr>
        <w:t xml:space="preserve">Walters, M. L., Chen, J., &amp; Breiding, M. J. (2013). </w:t>
      </w:r>
      <w:r>
        <w:rPr>
          <w:i/>
          <w:iCs/>
          <w:sz w:val="20"/>
          <w:szCs w:val="20"/>
        </w:rPr>
        <w:t>The National Intimate Partner and Sexual Violence Survey (NISVS): 2010 findings on victimization by sexual orientation</w:t>
      </w:r>
      <w:r>
        <w:rPr>
          <w:sz w:val="20"/>
          <w:szCs w:val="20"/>
        </w:rPr>
        <w:t>. National Center for Injury Prevention and Control, Centers for Disease Control and Prevention. https://www.cdc.gov/violenceprevention/pdf/nisvs_sofindings.pdf</w:t>
      </w:r>
    </w:p>
    <w:p w14:paraId="5C1D083F" w14:textId="77777777" w:rsidR="00E63D5B" w:rsidRDefault="001F059D">
      <w:pPr>
        <w:spacing w:after="80" w:line="240" w:lineRule="auto"/>
        <w:ind w:left="567" w:hanging="567"/>
        <w:jc w:val="left"/>
      </w:pPr>
      <w:r>
        <w:rPr>
          <w:sz w:val="20"/>
          <w:szCs w:val="20"/>
        </w:rPr>
        <w:t xml:space="preserve">Warren, J. M., Halpin, S. A., </w:t>
      </w:r>
      <w:proofErr w:type="spellStart"/>
      <w:r>
        <w:rPr>
          <w:sz w:val="20"/>
          <w:szCs w:val="20"/>
        </w:rPr>
        <w:t>Hanstock</w:t>
      </w:r>
      <w:proofErr w:type="spellEnd"/>
      <w:r>
        <w:rPr>
          <w:sz w:val="20"/>
          <w:szCs w:val="20"/>
        </w:rPr>
        <w:t xml:space="preserve">, T. L., Hood, C., &amp; Hunt, S. A. (2022). Outcomes of Parent-Child Interaction Therapy (PCIT) for families presenting with child maltreatment: A systematic review. </w:t>
      </w:r>
      <w:r>
        <w:rPr>
          <w:i/>
          <w:iCs/>
          <w:sz w:val="20"/>
          <w:szCs w:val="20"/>
        </w:rPr>
        <w:t>Child Abuse &amp; Neglect, 134</w:t>
      </w:r>
      <w:r>
        <w:rPr>
          <w:sz w:val="20"/>
          <w:szCs w:val="20"/>
        </w:rPr>
        <w:t>, 105942. https://doi.org/10.1016/j.chiabu.2022.105942</w:t>
      </w:r>
    </w:p>
    <w:p w14:paraId="60D252B8" w14:textId="77777777" w:rsidR="00E63D5B" w:rsidRDefault="001F059D">
      <w:pPr>
        <w:spacing w:after="80" w:line="240" w:lineRule="auto"/>
        <w:ind w:left="567" w:hanging="567"/>
        <w:jc w:val="left"/>
      </w:pPr>
      <w:r>
        <w:rPr>
          <w:sz w:val="20"/>
          <w:szCs w:val="20"/>
        </w:rPr>
        <w:lastRenderedPageBreak/>
        <w:t xml:space="preserve">Weathers, F. W., Litz, B. T., Keane, </w:t>
      </w:r>
      <w:proofErr w:type="gramStart"/>
      <w:r>
        <w:rPr>
          <w:sz w:val="20"/>
          <w:szCs w:val="20"/>
        </w:rPr>
        <w:t>T. M</w:t>
      </w:r>
      <w:proofErr w:type="gramEnd"/>
      <w:r>
        <w:rPr>
          <w:sz w:val="20"/>
          <w:szCs w:val="20"/>
        </w:rPr>
        <w:t xml:space="preserve">., Palmieri, P. A., Marx, B. P., &amp; Schnurr, P. P. (2013). </w:t>
      </w:r>
      <w:r>
        <w:rPr>
          <w:i/>
          <w:iCs/>
          <w:sz w:val="20"/>
          <w:szCs w:val="20"/>
        </w:rPr>
        <w:t>The PTSD Checklist for DSM-5 (PCL-5).</w:t>
      </w:r>
      <w:r>
        <w:rPr>
          <w:sz w:val="20"/>
          <w:szCs w:val="20"/>
        </w:rPr>
        <w:t xml:space="preserve"> National Center for PTSD. https://www.ptsd.va.gov</w:t>
      </w:r>
    </w:p>
    <w:p w14:paraId="7FBC4404" w14:textId="77777777" w:rsidR="00E63D5B" w:rsidRDefault="001F059D">
      <w:pPr>
        <w:spacing w:after="80" w:line="240" w:lineRule="auto"/>
        <w:ind w:left="567" w:hanging="567"/>
        <w:jc w:val="left"/>
      </w:pPr>
      <w:r>
        <w:rPr>
          <w:sz w:val="20"/>
          <w:szCs w:val="20"/>
        </w:rPr>
        <w:t xml:space="preserve">Weaver, T. L., Kelton, K., &amp; Riebel, J. (2021). The relationship between women's resources and health-related quality of life in a sample of female victims of intimate partner violence. </w:t>
      </w:r>
      <w:r>
        <w:rPr>
          <w:i/>
          <w:iCs/>
          <w:sz w:val="20"/>
          <w:szCs w:val="20"/>
        </w:rPr>
        <w:t>Journal of Social Service Research, 47</w:t>
      </w:r>
      <w:r>
        <w:rPr>
          <w:sz w:val="20"/>
          <w:szCs w:val="20"/>
        </w:rPr>
        <w:t>(4), 565–578. https://doi.org/10.1080/01488376.2020.1859433</w:t>
      </w:r>
    </w:p>
    <w:p w14:paraId="748A5239" w14:textId="77777777" w:rsidR="00E63D5B" w:rsidRDefault="001F059D">
      <w:pPr>
        <w:spacing w:after="80" w:line="240" w:lineRule="auto"/>
        <w:ind w:left="567" w:hanging="567"/>
        <w:jc w:val="left"/>
      </w:pPr>
      <w:r>
        <w:rPr>
          <w:sz w:val="20"/>
          <w:szCs w:val="20"/>
        </w:rPr>
        <w:t xml:space="preserve">Widom, C. S. (1989). The cycle of violence. </w:t>
      </w:r>
      <w:r>
        <w:rPr>
          <w:i/>
          <w:iCs/>
          <w:sz w:val="20"/>
          <w:szCs w:val="20"/>
        </w:rPr>
        <w:t>Science (New York, N.Y.)</w:t>
      </w:r>
      <w:r>
        <w:rPr>
          <w:sz w:val="20"/>
          <w:szCs w:val="20"/>
        </w:rPr>
        <w:t xml:space="preserve">, </w:t>
      </w:r>
      <w:r>
        <w:rPr>
          <w:i/>
          <w:iCs/>
          <w:sz w:val="20"/>
          <w:szCs w:val="20"/>
        </w:rPr>
        <w:t>244</w:t>
      </w:r>
      <w:r>
        <w:rPr>
          <w:sz w:val="20"/>
          <w:szCs w:val="20"/>
        </w:rPr>
        <w:t>(4901), 160–166. https://doi.org/10.1126/science.2704995</w:t>
      </w:r>
    </w:p>
    <w:p w14:paraId="79814FD0" w14:textId="77777777" w:rsidR="00E63D5B" w:rsidRDefault="001F059D">
      <w:pPr>
        <w:spacing w:after="80" w:line="240" w:lineRule="auto"/>
        <w:ind w:left="567" w:hanging="567"/>
        <w:jc w:val="left"/>
      </w:pPr>
      <w:r>
        <w:rPr>
          <w:sz w:val="20"/>
          <w:szCs w:val="20"/>
        </w:rPr>
        <w:t xml:space="preserve">Willig, C. (2003). </w:t>
      </w:r>
      <w:r>
        <w:rPr>
          <w:i/>
          <w:iCs/>
          <w:sz w:val="20"/>
          <w:szCs w:val="20"/>
        </w:rPr>
        <w:t xml:space="preserve">Introducing Qualitative Research in Psychology: Adventures in theory and method. </w:t>
      </w:r>
      <w:r>
        <w:rPr>
          <w:sz w:val="20"/>
          <w:szCs w:val="20"/>
        </w:rPr>
        <w:t>Open University Press</w:t>
      </w:r>
    </w:p>
    <w:p w14:paraId="70DFC92F" w14:textId="77777777" w:rsidR="00E63D5B" w:rsidRDefault="001F059D">
      <w:pPr>
        <w:spacing w:after="80" w:line="240" w:lineRule="auto"/>
        <w:ind w:left="567" w:hanging="567"/>
        <w:jc w:val="left"/>
      </w:pPr>
      <w:r>
        <w:rPr>
          <w:sz w:val="20"/>
          <w:szCs w:val="20"/>
        </w:rPr>
        <w:t xml:space="preserve">Wilson, J. M., Fauci, J. E., &amp; Goodman, L. A. (2015). Bringing trauma-informed practice to domestic violence programs: A qualitative analysis of current approaches. </w:t>
      </w:r>
      <w:r>
        <w:rPr>
          <w:i/>
          <w:iCs/>
          <w:sz w:val="20"/>
          <w:szCs w:val="20"/>
        </w:rPr>
        <w:t>The American journal of orthopsychiatry</w:t>
      </w:r>
      <w:r>
        <w:rPr>
          <w:sz w:val="20"/>
          <w:szCs w:val="20"/>
        </w:rPr>
        <w:t xml:space="preserve">, </w:t>
      </w:r>
      <w:r>
        <w:rPr>
          <w:i/>
          <w:iCs/>
          <w:sz w:val="20"/>
          <w:szCs w:val="20"/>
        </w:rPr>
        <w:t>85</w:t>
      </w:r>
      <w:r>
        <w:rPr>
          <w:sz w:val="20"/>
          <w:szCs w:val="20"/>
        </w:rPr>
        <w:t>(6), 586–599. https://doi.org/10.1037/ort0000098</w:t>
      </w:r>
    </w:p>
    <w:p w14:paraId="5435FC32" w14:textId="77777777" w:rsidR="00E63D5B" w:rsidRDefault="001F059D">
      <w:pPr>
        <w:spacing w:after="80" w:line="240" w:lineRule="auto"/>
        <w:ind w:left="567" w:hanging="567"/>
        <w:jc w:val="left"/>
      </w:pPr>
      <w:r>
        <w:rPr>
          <w:sz w:val="20"/>
          <w:szCs w:val="20"/>
        </w:rPr>
        <w:t xml:space="preserve">Wolfe, D. A., Crooks, C. V., Lee, V., McIntyre-Smith, A., &amp; Jaffe, P. G. (2003). The effects of children's exposure to domestic violence: a meta-analysis and critique. </w:t>
      </w:r>
      <w:r>
        <w:rPr>
          <w:i/>
          <w:iCs/>
          <w:sz w:val="20"/>
          <w:szCs w:val="20"/>
        </w:rPr>
        <w:t>Clinical child and family psychology review</w:t>
      </w:r>
      <w:r>
        <w:rPr>
          <w:sz w:val="20"/>
          <w:szCs w:val="20"/>
        </w:rPr>
        <w:t xml:space="preserve">, </w:t>
      </w:r>
      <w:r>
        <w:rPr>
          <w:i/>
          <w:iCs/>
          <w:sz w:val="20"/>
          <w:szCs w:val="20"/>
        </w:rPr>
        <w:t>6</w:t>
      </w:r>
      <w:r>
        <w:rPr>
          <w:sz w:val="20"/>
          <w:szCs w:val="20"/>
        </w:rPr>
        <w:t>(3), 171–187. https://doi.org/10.1023/a:1024910416164</w:t>
      </w:r>
    </w:p>
    <w:p w14:paraId="3618E833" w14:textId="77777777" w:rsidR="00E63D5B" w:rsidRDefault="001F059D">
      <w:pPr>
        <w:spacing w:after="80" w:line="240" w:lineRule="auto"/>
        <w:ind w:left="567" w:hanging="567"/>
        <w:jc w:val="left"/>
      </w:pPr>
      <w:r>
        <w:rPr>
          <w:sz w:val="20"/>
          <w:szCs w:val="20"/>
        </w:rPr>
        <w:t>Woodlock, D. (2017). The Abuse of Technology in Domestic Violence and Stalking. Violence against women, 23(5), 584–602. https://doi.org/10.1177/1077801216646277</w:t>
      </w:r>
    </w:p>
    <w:p w14:paraId="7490C4CA" w14:textId="77777777" w:rsidR="00E63D5B" w:rsidRDefault="001F059D">
      <w:pPr>
        <w:spacing w:after="80" w:line="240" w:lineRule="auto"/>
        <w:ind w:left="567" w:hanging="567"/>
        <w:jc w:val="left"/>
      </w:pPr>
      <w:r>
        <w:rPr>
          <w:sz w:val="20"/>
          <w:szCs w:val="20"/>
        </w:rPr>
        <w:t xml:space="preserve">World Bank, &amp; Innovations for Poverty Action. (2024). </w:t>
      </w:r>
      <w:r>
        <w:rPr>
          <w:i/>
          <w:iCs/>
          <w:sz w:val="20"/>
          <w:szCs w:val="20"/>
        </w:rPr>
        <w:t>Can safety nets reduce gender-based violence? How?</w:t>
      </w:r>
      <w:r>
        <w:rPr>
          <w:sz w:val="20"/>
          <w:szCs w:val="20"/>
        </w:rPr>
        <w:t xml:space="preserve"> (Social Protection &amp; Jobs Policy and Technical Note No. 30). World Bank. https://hdl.handle.net/10986/41712</w:t>
      </w:r>
    </w:p>
    <w:p w14:paraId="70DA7889" w14:textId="77777777" w:rsidR="00E63D5B" w:rsidRDefault="001F059D">
      <w:pPr>
        <w:spacing w:after="80" w:line="240" w:lineRule="auto"/>
        <w:ind w:left="567" w:hanging="567"/>
        <w:jc w:val="left"/>
      </w:pPr>
      <w:r>
        <w:rPr>
          <w:sz w:val="20"/>
          <w:szCs w:val="20"/>
        </w:rPr>
        <w:t xml:space="preserve">World Health Organization. (1997). </w:t>
      </w:r>
      <w:r>
        <w:rPr>
          <w:i/>
          <w:iCs/>
          <w:sz w:val="20"/>
          <w:szCs w:val="20"/>
        </w:rPr>
        <w:t>WHOQOL: Measuring quality of life</w:t>
      </w:r>
      <w:r>
        <w:rPr>
          <w:sz w:val="20"/>
          <w:szCs w:val="20"/>
        </w:rPr>
        <w:t>. WHO. https://iris.who.int/handle/10665/63482</w:t>
      </w:r>
    </w:p>
    <w:p w14:paraId="084F030E" w14:textId="77777777" w:rsidR="00E63D5B" w:rsidRDefault="001F059D">
      <w:pPr>
        <w:spacing w:after="80" w:line="240" w:lineRule="auto"/>
        <w:ind w:left="567" w:hanging="567"/>
        <w:jc w:val="left"/>
      </w:pPr>
      <w:r>
        <w:rPr>
          <w:sz w:val="20"/>
          <w:szCs w:val="20"/>
        </w:rPr>
        <w:t xml:space="preserve">World Health Organization. (2002). </w:t>
      </w:r>
      <w:r>
        <w:rPr>
          <w:i/>
          <w:iCs/>
          <w:sz w:val="20"/>
          <w:szCs w:val="20"/>
        </w:rPr>
        <w:t>World report on violence and health</w:t>
      </w:r>
      <w:r>
        <w:rPr>
          <w:sz w:val="20"/>
          <w:szCs w:val="20"/>
        </w:rPr>
        <w:t xml:space="preserve"> (E. G. Krug, </w:t>
      </w:r>
      <w:proofErr w:type="gramStart"/>
      <w:r>
        <w:rPr>
          <w:sz w:val="20"/>
          <w:szCs w:val="20"/>
        </w:rPr>
        <w:t>L.</w:t>
      </w:r>
      <w:proofErr w:type="gramEnd"/>
      <w:r>
        <w:rPr>
          <w:sz w:val="20"/>
          <w:szCs w:val="20"/>
        </w:rPr>
        <w:t xml:space="preserve"> L. Dahlberg, J. A. Mercy, A. B. Zwi, &amp; R. Lozano, Eds.). WHO.</w:t>
      </w:r>
    </w:p>
    <w:p w14:paraId="5A34D71F" w14:textId="77777777" w:rsidR="00E63D5B" w:rsidRDefault="001F059D">
      <w:pPr>
        <w:spacing w:after="80" w:line="240" w:lineRule="auto"/>
        <w:ind w:left="567" w:hanging="567"/>
        <w:jc w:val="left"/>
      </w:pPr>
      <w:r>
        <w:rPr>
          <w:sz w:val="20"/>
          <w:szCs w:val="20"/>
        </w:rPr>
        <w:t xml:space="preserve">World Health Organization. (2012). </w:t>
      </w:r>
      <w:r>
        <w:rPr>
          <w:i/>
          <w:iCs/>
          <w:sz w:val="20"/>
          <w:szCs w:val="20"/>
        </w:rPr>
        <w:t>Understanding and addressing violence against women: Intimate partner violence</w:t>
      </w:r>
      <w:r>
        <w:rPr>
          <w:sz w:val="20"/>
          <w:szCs w:val="20"/>
        </w:rPr>
        <w:t>. WHO. https://www.who.int/publications/i/item/WHO-RHR-12.36</w:t>
      </w:r>
    </w:p>
    <w:p w14:paraId="382DB274" w14:textId="77777777" w:rsidR="00E63D5B" w:rsidRDefault="001F059D">
      <w:pPr>
        <w:spacing w:after="80" w:line="240" w:lineRule="auto"/>
        <w:ind w:left="567" w:hanging="567"/>
        <w:jc w:val="left"/>
      </w:pPr>
      <w:r>
        <w:rPr>
          <w:sz w:val="20"/>
          <w:szCs w:val="20"/>
        </w:rPr>
        <w:t xml:space="preserve">World Health Organization. (2013a). </w:t>
      </w:r>
      <w:r>
        <w:rPr>
          <w:i/>
          <w:iCs/>
          <w:sz w:val="20"/>
          <w:szCs w:val="20"/>
        </w:rPr>
        <w:t>Global and regional estimates of violence against women: Prevalence and health effects of intimate partner violence and non-partner sexual violence</w:t>
      </w:r>
      <w:r>
        <w:rPr>
          <w:sz w:val="20"/>
          <w:szCs w:val="20"/>
        </w:rPr>
        <w:t>. WHO. https://www.who.int/publications/i/item/9789241564625</w:t>
      </w:r>
    </w:p>
    <w:p w14:paraId="4C23DF16" w14:textId="77777777" w:rsidR="00E63D5B" w:rsidRDefault="001F059D">
      <w:pPr>
        <w:spacing w:after="80" w:line="240" w:lineRule="auto"/>
        <w:ind w:left="567" w:hanging="567"/>
        <w:jc w:val="left"/>
      </w:pPr>
      <w:r>
        <w:rPr>
          <w:sz w:val="20"/>
          <w:szCs w:val="20"/>
        </w:rPr>
        <w:t xml:space="preserve">World Health Organization. (2013b). </w:t>
      </w:r>
      <w:r>
        <w:rPr>
          <w:i/>
          <w:iCs/>
          <w:sz w:val="20"/>
          <w:szCs w:val="20"/>
        </w:rPr>
        <w:t>Responding to intimate partner violence and sexual violence against women: WHO clinical and policy guidelines</w:t>
      </w:r>
      <w:r>
        <w:rPr>
          <w:sz w:val="20"/>
          <w:szCs w:val="20"/>
        </w:rPr>
        <w:t>. WHO. https://www.who.int/publications/i/item/9789241548595</w:t>
      </w:r>
    </w:p>
    <w:p w14:paraId="17322BC2" w14:textId="77777777" w:rsidR="00E63D5B" w:rsidRDefault="001F059D">
      <w:pPr>
        <w:spacing w:after="80" w:line="240" w:lineRule="auto"/>
        <w:ind w:left="567" w:hanging="567"/>
        <w:jc w:val="left"/>
      </w:pPr>
      <w:r>
        <w:rPr>
          <w:sz w:val="20"/>
          <w:szCs w:val="20"/>
        </w:rPr>
        <w:t xml:space="preserve">World Health Organization. (2016). </w:t>
      </w:r>
      <w:r>
        <w:rPr>
          <w:i/>
          <w:iCs/>
          <w:sz w:val="20"/>
          <w:szCs w:val="20"/>
        </w:rPr>
        <w:t xml:space="preserve">Global plan of action to strengthen the role of the health system within a national multisectoral response to address interpersonal violence, </w:t>
      </w:r>
      <w:proofErr w:type="gramStart"/>
      <w:r>
        <w:rPr>
          <w:i/>
          <w:iCs/>
          <w:sz w:val="20"/>
          <w:szCs w:val="20"/>
        </w:rPr>
        <w:t>in particular against</w:t>
      </w:r>
      <w:proofErr w:type="gramEnd"/>
      <w:r>
        <w:rPr>
          <w:i/>
          <w:iCs/>
          <w:sz w:val="20"/>
          <w:szCs w:val="20"/>
        </w:rPr>
        <w:t xml:space="preserve"> women and girls, and against children</w:t>
      </w:r>
      <w:r>
        <w:rPr>
          <w:sz w:val="20"/>
          <w:szCs w:val="20"/>
        </w:rPr>
        <w:t>. WHO.</w:t>
      </w:r>
    </w:p>
    <w:p w14:paraId="7AC56001" w14:textId="77777777" w:rsidR="00E63D5B" w:rsidRDefault="001F059D">
      <w:pPr>
        <w:spacing w:after="80" w:line="240" w:lineRule="auto"/>
        <w:ind w:left="567" w:hanging="567"/>
        <w:jc w:val="left"/>
      </w:pPr>
      <w:r>
        <w:rPr>
          <w:sz w:val="20"/>
          <w:szCs w:val="20"/>
        </w:rPr>
        <w:t xml:space="preserve">World Health Organization. (2018). </w:t>
      </w:r>
      <w:r>
        <w:rPr>
          <w:i/>
          <w:iCs/>
          <w:sz w:val="20"/>
          <w:szCs w:val="20"/>
        </w:rPr>
        <w:t>RESPECT women: Preventing violence against women. Implementation package</w:t>
      </w:r>
      <w:r>
        <w:rPr>
          <w:sz w:val="20"/>
          <w:szCs w:val="20"/>
        </w:rPr>
        <w:t>. WHO.</w:t>
      </w:r>
    </w:p>
    <w:p w14:paraId="0100FEDA" w14:textId="77777777" w:rsidR="00E63D5B" w:rsidRDefault="001F059D">
      <w:pPr>
        <w:spacing w:after="80" w:line="240" w:lineRule="auto"/>
        <w:ind w:left="567" w:hanging="567"/>
        <w:jc w:val="left"/>
      </w:pPr>
      <w:r>
        <w:rPr>
          <w:sz w:val="20"/>
          <w:szCs w:val="20"/>
        </w:rPr>
        <w:t xml:space="preserve">World Health Organization. (2019). </w:t>
      </w:r>
      <w:r>
        <w:rPr>
          <w:i/>
          <w:iCs/>
          <w:sz w:val="20"/>
          <w:szCs w:val="20"/>
        </w:rPr>
        <w:t>RESPECT women: Preventing violence against women</w:t>
      </w:r>
      <w:r>
        <w:rPr>
          <w:sz w:val="20"/>
          <w:szCs w:val="20"/>
        </w:rPr>
        <w:t>. WHO. https://www.who.int/publications/i/item/WHO-RHR-18.19</w:t>
      </w:r>
    </w:p>
    <w:p w14:paraId="1E3DA7AC" w14:textId="77777777" w:rsidR="00E63D5B" w:rsidRDefault="001F059D">
      <w:pPr>
        <w:spacing w:after="80" w:line="240" w:lineRule="auto"/>
        <w:ind w:left="567" w:hanging="567"/>
        <w:jc w:val="left"/>
      </w:pPr>
      <w:r>
        <w:rPr>
          <w:sz w:val="20"/>
          <w:szCs w:val="20"/>
        </w:rPr>
        <w:t xml:space="preserve">World Health Organization. (2021). </w:t>
      </w:r>
      <w:r>
        <w:rPr>
          <w:i/>
          <w:iCs/>
          <w:sz w:val="20"/>
          <w:szCs w:val="20"/>
        </w:rPr>
        <w:t>Violence against women prevalence estimates, 2018: Global, regional and national prevalence estimates for intimate partner violence against women and global and regional prevalence estimates for non-partner sexual violence against women</w:t>
      </w:r>
      <w:r>
        <w:rPr>
          <w:sz w:val="20"/>
          <w:szCs w:val="20"/>
        </w:rPr>
        <w:t>. WHO. https://iris.who.int/handle/10665/341337</w:t>
      </w:r>
    </w:p>
    <w:p w14:paraId="3E5626FC" w14:textId="77777777" w:rsidR="00E63D5B" w:rsidRDefault="001F059D">
      <w:pPr>
        <w:spacing w:after="80" w:line="240" w:lineRule="auto"/>
        <w:ind w:left="567" w:hanging="567"/>
        <w:jc w:val="left"/>
      </w:pPr>
      <w:r>
        <w:rPr>
          <w:sz w:val="20"/>
          <w:szCs w:val="20"/>
        </w:rPr>
        <w:t xml:space="preserve">World Health Organization. (2022). </w:t>
      </w:r>
      <w:r>
        <w:rPr>
          <w:i/>
          <w:iCs/>
          <w:sz w:val="20"/>
          <w:szCs w:val="20"/>
        </w:rPr>
        <w:t>Abuse of older people</w:t>
      </w:r>
      <w:r>
        <w:rPr>
          <w:sz w:val="20"/>
          <w:szCs w:val="20"/>
        </w:rPr>
        <w:t xml:space="preserve"> [Fact sheet]. https://www.who.int/news-room/fact-sheets/detail/abuse-of-older-people</w:t>
      </w:r>
    </w:p>
    <w:p w14:paraId="0A226B0D" w14:textId="77777777" w:rsidR="00E63D5B" w:rsidRDefault="001F059D">
      <w:pPr>
        <w:spacing w:after="80" w:line="240" w:lineRule="auto"/>
        <w:ind w:left="567" w:hanging="567"/>
        <w:jc w:val="left"/>
      </w:pPr>
      <w:r>
        <w:rPr>
          <w:sz w:val="20"/>
          <w:szCs w:val="20"/>
        </w:rPr>
        <w:t xml:space="preserve">World Health Organization. (2023). </w:t>
      </w:r>
      <w:r>
        <w:rPr>
          <w:i/>
          <w:iCs/>
          <w:sz w:val="20"/>
          <w:szCs w:val="20"/>
        </w:rPr>
        <w:t>WHO guidelines on parenting interventions to prevent maltreatment and enhance parent–child relationships with children aged 0–17 years</w:t>
      </w:r>
      <w:r>
        <w:rPr>
          <w:sz w:val="20"/>
          <w:szCs w:val="20"/>
        </w:rPr>
        <w:t>. WHO.</w:t>
      </w:r>
    </w:p>
    <w:p w14:paraId="65719741" w14:textId="77777777" w:rsidR="00E63D5B" w:rsidRDefault="001F059D">
      <w:pPr>
        <w:spacing w:after="80" w:line="240" w:lineRule="auto"/>
        <w:ind w:left="567" w:hanging="567"/>
        <w:jc w:val="left"/>
      </w:pPr>
      <w:r>
        <w:rPr>
          <w:sz w:val="20"/>
          <w:szCs w:val="20"/>
        </w:rPr>
        <w:t xml:space="preserve">World Health Organization. (2024, March 25). </w:t>
      </w:r>
      <w:r>
        <w:rPr>
          <w:i/>
          <w:iCs/>
          <w:sz w:val="20"/>
          <w:szCs w:val="20"/>
        </w:rPr>
        <w:t>Violence against women</w:t>
      </w:r>
      <w:r>
        <w:rPr>
          <w:sz w:val="20"/>
          <w:szCs w:val="20"/>
        </w:rPr>
        <w:t xml:space="preserve"> [Fact sheet]. https://www.who.int/news-room/fact-sheets/detail/violence-against-women</w:t>
      </w:r>
    </w:p>
    <w:p w14:paraId="51C48808" w14:textId="77777777" w:rsidR="00E63D5B" w:rsidRDefault="001F059D">
      <w:pPr>
        <w:spacing w:after="80" w:line="240" w:lineRule="auto"/>
        <w:ind w:left="567" w:hanging="567"/>
        <w:jc w:val="left"/>
      </w:pPr>
      <w:r>
        <w:rPr>
          <w:sz w:val="20"/>
          <w:szCs w:val="20"/>
        </w:rPr>
        <w:lastRenderedPageBreak/>
        <w:t xml:space="preserve">World Health Organization. (2025). </w:t>
      </w:r>
      <w:r>
        <w:rPr>
          <w:i/>
          <w:iCs/>
          <w:sz w:val="20"/>
          <w:szCs w:val="20"/>
        </w:rPr>
        <w:t>Violence against women prevalence estimates, 2023: Global, regional and national prevalence estimates for intimate partner violence against women and global and regional prevalence estimates for non-partner sexual violence against women</w:t>
      </w:r>
      <w:r>
        <w:rPr>
          <w:sz w:val="20"/>
          <w:szCs w:val="20"/>
        </w:rPr>
        <w:t>. WHO.</w:t>
      </w:r>
    </w:p>
    <w:p w14:paraId="7BA37890" w14:textId="77777777" w:rsidR="00E63D5B" w:rsidRDefault="001F059D">
      <w:pPr>
        <w:spacing w:after="80" w:line="240" w:lineRule="auto"/>
        <w:ind w:left="567" w:hanging="567"/>
        <w:jc w:val="left"/>
      </w:pPr>
      <w:r>
        <w:rPr>
          <w:sz w:val="20"/>
          <w:szCs w:val="20"/>
        </w:rPr>
        <w:t>Xiong, P., Chen, Y., Shi, Y., Liu, M., Yang, W., Liang, B., &amp; Liu, Y. (2025). Global burden of diseases attributable to intimate partner violence: Findings from the Global Burden of Disease Study 2019. Social Psychiatry and Psychiatric Epidemiology, 60(2), 487–513. https://doi.org/10.1007/s00127-024-02637-x</w:t>
      </w:r>
    </w:p>
    <w:p w14:paraId="49552E76" w14:textId="77777777" w:rsidR="00E63D5B" w:rsidRDefault="001F059D">
      <w:pPr>
        <w:spacing w:after="80" w:line="240" w:lineRule="auto"/>
        <w:ind w:left="567" w:hanging="567"/>
        <w:jc w:val="left"/>
      </w:pPr>
      <w:r>
        <w:rPr>
          <w:sz w:val="20"/>
          <w:szCs w:val="20"/>
        </w:rPr>
        <w:t xml:space="preserve">Yehuda, R., &amp; Lehrner, A. (2018). Intergenerational transmission of trauma effects: putative role of epigenetic mechanisms. </w:t>
      </w:r>
      <w:r>
        <w:rPr>
          <w:i/>
          <w:iCs/>
          <w:sz w:val="20"/>
          <w:szCs w:val="20"/>
        </w:rPr>
        <w:t xml:space="preserve">World </w:t>
      </w:r>
      <w:proofErr w:type="gramStart"/>
      <w:r>
        <w:rPr>
          <w:i/>
          <w:iCs/>
          <w:sz w:val="20"/>
          <w:szCs w:val="20"/>
        </w:rPr>
        <w:t>psychiatry :</w:t>
      </w:r>
      <w:proofErr w:type="gramEnd"/>
      <w:r>
        <w:rPr>
          <w:i/>
          <w:iCs/>
          <w:sz w:val="20"/>
          <w:szCs w:val="20"/>
        </w:rPr>
        <w:t xml:space="preserve"> official journal of the World Psychiatric Association (WPA)</w:t>
      </w:r>
      <w:r>
        <w:rPr>
          <w:sz w:val="20"/>
          <w:szCs w:val="20"/>
        </w:rPr>
        <w:t xml:space="preserve">, </w:t>
      </w:r>
      <w:r>
        <w:rPr>
          <w:i/>
          <w:iCs/>
          <w:sz w:val="20"/>
          <w:szCs w:val="20"/>
        </w:rPr>
        <w:t>17</w:t>
      </w:r>
      <w:r>
        <w:rPr>
          <w:sz w:val="20"/>
          <w:szCs w:val="20"/>
        </w:rPr>
        <w:t>(3), 243–257. https://doi.org/10.1002/wps.20568</w:t>
      </w:r>
    </w:p>
    <w:p w14:paraId="63E45256" w14:textId="77777777" w:rsidR="00E63D5B" w:rsidRDefault="001F059D">
      <w:pPr>
        <w:spacing w:after="80" w:line="240" w:lineRule="auto"/>
        <w:ind w:left="567" w:hanging="567"/>
        <w:jc w:val="left"/>
      </w:pPr>
      <w:r>
        <w:rPr>
          <w:sz w:val="20"/>
          <w:szCs w:val="20"/>
        </w:rPr>
        <w:t xml:space="preserve">Yule, K., Houston, J., &amp; Grych, J. H. (2019). Resilience in children exposed to violence: A meta-analysis of protective factors across ecological contexts. </w:t>
      </w:r>
      <w:r>
        <w:rPr>
          <w:i/>
          <w:iCs/>
          <w:sz w:val="20"/>
          <w:szCs w:val="20"/>
        </w:rPr>
        <w:t>Clinical Child and Family Psychology Review, 22</w:t>
      </w:r>
      <w:r>
        <w:rPr>
          <w:sz w:val="20"/>
          <w:szCs w:val="20"/>
        </w:rPr>
        <w:t>(3), 406–431. https://doi.org/10.1007/s10567-019-00293-1</w:t>
      </w:r>
    </w:p>
    <w:p w14:paraId="4937958B" w14:textId="77777777" w:rsidR="00E63D5B" w:rsidRDefault="001F059D">
      <w:pPr>
        <w:spacing w:after="80" w:line="240" w:lineRule="auto"/>
        <w:ind w:left="567" w:hanging="567"/>
        <w:jc w:val="left"/>
      </w:pPr>
      <w:r>
        <w:rPr>
          <w:sz w:val="20"/>
          <w:szCs w:val="20"/>
        </w:rPr>
        <w:t xml:space="preserve">Zhao, X., Lynch, J. G., Jr., &amp; Chen, Q. (2010). Reconsidering Baron and Kenny: Myths and truths about mediation analysis. </w:t>
      </w:r>
      <w:r>
        <w:rPr>
          <w:i/>
          <w:iCs/>
          <w:sz w:val="20"/>
          <w:szCs w:val="20"/>
        </w:rPr>
        <w:t>Journal of Consumer Research, 37</w:t>
      </w:r>
      <w:r>
        <w:rPr>
          <w:sz w:val="20"/>
          <w:szCs w:val="20"/>
        </w:rPr>
        <w:t>(2), 197–206. https://doi.org/10.1086/651257</w:t>
      </w:r>
    </w:p>
    <w:p w14:paraId="7470C957" w14:textId="77777777" w:rsidR="00E63D5B" w:rsidRDefault="001F059D">
      <w:pPr>
        <w:spacing w:after="80" w:line="240" w:lineRule="auto"/>
        <w:ind w:left="567" w:hanging="567"/>
        <w:jc w:val="left"/>
      </w:pPr>
      <w:r>
        <w:rPr>
          <w:sz w:val="20"/>
          <w:szCs w:val="20"/>
        </w:rPr>
        <w:t xml:space="preserve">Zięba, M., </w:t>
      </w:r>
      <w:proofErr w:type="spellStart"/>
      <w:r>
        <w:rPr>
          <w:sz w:val="20"/>
          <w:szCs w:val="20"/>
        </w:rPr>
        <w:t>Wiecheć</w:t>
      </w:r>
      <w:proofErr w:type="spellEnd"/>
      <w:r>
        <w:rPr>
          <w:sz w:val="20"/>
          <w:szCs w:val="20"/>
        </w:rPr>
        <w:t xml:space="preserve">, K., &amp; </w:t>
      </w:r>
      <w:proofErr w:type="spellStart"/>
      <w:r>
        <w:rPr>
          <w:sz w:val="20"/>
          <w:szCs w:val="20"/>
        </w:rPr>
        <w:t>Mieleszczenko</w:t>
      </w:r>
      <w:proofErr w:type="spellEnd"/>
      <w:r>
        <w:rPr>
          <w:sz w:val="20"/>
          <w:szCs w:val="20"/>
        </w:rPr>
        <w:t xml:space="preserve">-Kowszewicz, W. (2019). Coexistence of post-traumatic growth and post-traumatic depreciation in the aftermath of trauma: Qualitative and quantitative narrative analysis. </w:t>
      </w:r>
      <w:r>
        <w:rPr>
          <w:i/>
          <w:iCs/>
          <w:sz w:val="20"/>
          <w:szCs w:val="20"/>
        </w:rPr>
        <w:t>Frontiers in Psychology, 10</w:t>
      </w:r>
      <w:r>
        <w:rPr>
          <w:sz w:val="20"/>
          <w:szCs w:val="20"/>
        </w:rPr>
        <w:t>, Article 687. https://doi.org/10.3389/fpsyg.2019.00687</w:t>
      </w:r>
    </w:p>
    <w:p w14:paraId="25E8F243" w14:textId="77777777" w:rsidR="00E63D5B" w:rsidRPr="000B7AA5" w:rsidRDefault="001F059D">
      <w:pPr>
        <w:spacing w:after="80" w:line="240" w:lineRule="auto"/>
        <w:ind w:left="567" w:hanging="567"/>
        <w:jc w:val="left"/>
        <w:rPr>
          <w:lang w:val="en-US"/>
        </w:rPr>
      </w:pPr>
      <w:proofErr w:type="spellStart"/>
      <w:r>
        <w:rPr>
          <w:sz w:val="20"/>
          <w:szCs w:val="20"/>
        </w:rPr>
        <w:t>Žukauskienė</w:t>
      </w:r>
      <w:proofErr w:type="spellEnd"/>
      <w:r>
        <w:rPr>
          <w:sz w:val="20"/>
          <w:szCs w:val="20"/>
        </w:rPr>
        <w:t xml:space="preserve">, R., </w:t>
      </w:r>
      <w:proofErr w:type="spellStart"/>
      <w:r>
        <w:rPr>
          <w:sz w:val="20"/>
          <w:szCs w:val="20"/>
        </w:rPr>
        <w:t>Kaniušonytė</w:t>
      </w:r>
      <w:proofErr w:type="spellEnd"/>
      <w:r>
        <w:rPr>
          <w:sz w:val="20"/>
          <w:szCs w:val="20"/>
        </w:rPr>
        <w:t xml:space="preserve">, G., Bergman, L. R., </w:t>
      </w:r>
      <w:proofErr w:type="spellStart"/>
      <w:r>
        <w:rPr>
          <w:sz w:val="20"/>
          <w:szCs w:val="20"/>
        </w:rPr>
        <w:t>Bakaitytė</w:t>
      </w:r>
      <w:proofErr w:type="spellEnd"/>
      <w:r>
        <w:rPr>
          <w:sz w:val="20"/>
          <w:szCs w:val="20"/>
        </w:rPr>
        <w:t xml:space="preserve">, A., &amp; </w:t>
      </w:r>
      <w:proofErr w:type="spellStart"/>
      <w:r>
        <w:rPr>
          <w:sz w:val="20"/>
          <w:szCs w:val="20"/>
        </w:rPr>
        <w:t>Truskauskaitė-Kunevičienė</w:t>
      </w:r>
      <w:proofErr w:type="spellEnd"/>
      <w:r>
        <w:rPr>
          <w:sz w:val="20"/>
          <w:szCs w:val="20"/>
        </w:rPr>
        <w:t xml:space="preserve">, I. (2021). The Role of Social Support in Identity Processes and Posttraumatic Growth: A Study of Victims of Intimate Partner Violence. </w:t>
      </w:r>
      <w:r>
        <w:rPr>
          <w:i/>
          <w:iCs/>
          <w:sz w:val="20"/>
          <w:szCs w:val="20"/>
        </w:rPr>
        <w:t>Journal of interpersonal violence</w:t>
      </w:r>
      <w:r>
        <w:rPr>
          <w:sz w:val="20"/>
          <w:szCs w:val="20"/>
        </w:rPr>
        <w:t xml:space="preserve">, </w:t>
      </w:r>
      <w:r>
        <w:rPr>
          <w:i/>
          <w:iCs/>
          <w:sz w:val="20"/>
          <w:szCs w:val="20"/>
        </w:rPr>
        <w:t>36</w:t>
      </w:r>
      <w:r>
        <w:rPr>
          <w:sz w:val="20"/>
          <w:szCs w:val="20"/>
        </w:rPr>
        <w:t>(15-16), 7599–7624. https://doi.org/10.1177/0886260519836785</w:t>
      </w:r>
    </w:p>
    <w:p w14:paraId="74A2BE4B" w14:textId="77777777" w:rsidR="00E63D5B" w:rsidRPr="000B7AA5" w:rsidRDefault="001F059D">
      <w:pPr>
        <w:pStyle w:val="20"/>
        <w:rPr>
          <w:lang w:val="en-US"/>
        </w:rPr>
      </w:pPr>
      <w:bookmarkStart w:id="86" w:name="_Toc242134491"/>
      <w:r>
        <w:rPr>
          <w:lang w:val="el-GR"/>
        </w:rPr>
        <w:t>Νομοθετικά</w:t>
      </w:r>
      <w:r w:rsidRPr="000B7AA5">
        <w:rPr>
          <w:lang w:val="en-US"/>
        </w:rPr>
        <w:t xml:space="preserve"> </w:t>
      </w:r>
      <w:r>
        <w:rPr>
          <w:lang w:val="el-GR"/>
        </w:rPr>
        <w:t>κείμενα</w:t>
      </w:r>
      <w:bookmarkEnd w:id="86"/>
    </w:p>
    <w:p w14:paraId="226B27CD" w14:textId="77777777" w:rsidR="00E63D5B" w:rsidRPr="00132066" w:rsidRDefault="001F059D">
      <w:pPr>
        <w:spacing w:after="80" w:line="240" w:lineRule="auto"/>
        <w:ind w:left="567" w:hanging="567"/>
        <w:jc w:val="left"/>
        <w:rPr>
          <w:lang w:val="el-GR"/>
        </w:rPr>
      </w:pPr>
      <w:r>
        <w:rPr>
          <w:sz w:val="20"/>
          <w:szCs w:val="20"/>
          <w:lang w:val="el-GR"/>
        </w:rPr>
        <w:t>Ν</w:t>
      </w:r>
      <w:r w:rsidRPr="000B7AA5">
        <w:rPr>
          <w:sz w:val="20"/>
          <w:szCs w:val="20"/>
          <w:lang w:val="en-US"/>
        </w:rPr>
        <w:t xml:space="preserve">. 3500/2006. </w:t>
      </w:r>
      <w:r>
        <w:rPr>
          <w:sz w:val="20"/>
          <w:szCs w:val="20"/>
          <w:lang w:val="el-GR"/>
        </w:rPr>
        <w:t>Για την αντιμετώπιση της ενδοοικογενειακής βίας και άλλες διατάξεις. ΦΕΚ Α΄ 232/24.10.2006.</w:t>
      </w:r>
    </w:p>
    <w:p w14:paraId="03E2B453" w14:textId="77777777" w:rsidR="00E63D5B" w:rsidRPr="00132066" w:rsidRDefault="001F059D">
      <w:pPr>
        <w:spacing w:after="80" w:line="240" w:lineRule="auto"/>
        <w:ind w:left="567" w:hanging="567"/>
        <w:jc w:val="left"/>
        <w:rPr>
          <w:lang w:val="el-GR"/>
        </w:rPr>
      </w:pPr>
      <w:r>
        <w:rPr>
          <w:sz w:val="20"/>
          <w:szCs w:val="20"/>
          <w:lang w:val="el-GR"/>
        </w:rPr>
        <w:t>Ν. 4531/2018. Κύρωση της Σύμβασης του Συμβουλίου της Ευρώπης για την Πρόληψη και την Καταπολέμηση της Βίας κατά των γυναικών και της Ενδοοικογενειακής Βίας και προσαρμογή της ελληνικής νομοθεσίας. ΦΕΚ Α΄ 62/5.4.2018.</w:t>
      </w:r>
    </w:p>
    <w:p w14:paraId="2B2C8741" w14:textId="77777777" w:rsidR="00E63D5B" w:rsidRPr="00132066" w:rsidRDefault="001F059D">
      <w:pPr>
        <w:spacing w:after="80" w:line="240" w:lineRule="auto"/>
        <w:ind w:left="567" w:hanging="567"/>
        <w:jc w:val="left"/>
        <w:rPr>
          <w:lang w:val="el-GR"/>
        </w:rPr>
      </w:pPr>
      <w:r>
        <w:rPr>
          <w:sz w:val="20"/>
          <w:szCs w:val="20"/>
          <w:lang w:val="el-GR"/>
        </w:rPr>
        <w:t>Ν. 4604/2019. Προώθηση της ουσιαστικής ισότητας των φύλων, πρόληψη και καταπολέμηση της έμφυλης βίας. ΦΕΚ Α΄ 50/26.3.2019.</w:t>
      </w:r>
    </w:p>
    <w:p w14:paraId="664D9DCE" w14:textId="77777777" w:rsidR="00E63D5B" w:rsidRPr="00132066" w:rsidRDefault="001F059D">
      <w:pPr>
        <w:spacing w:after="80" w:line="240" w:lineRule="auto"/>
        <w:ind w:left="567" w:hanging="567"/>
        <w:jc w:val="left"/>
        <w:rPr>
          <w:lang w:val="el-GR"/>
        </w:rPr>
      </w:pPr>
      <w:r>
        <w:rPr>
          <w:sz w:val="20"/>
          <w:szCs w:val="20"/>
          <w:lang w:val="el-GR"/>
        </w:rPr>
        <w:t>Ν. 4837/2021. Πρόληψη και αντιμετώπιση περιστατικών κακοποίησης και παραμέλησης ανηλίκων, Πρόγραμμα «Κυψέλη» και άλλες διατάξεις. ΦΕΚ Α΄ 178/1.10.2021.</w:t>
      </w:r>
    </w:p>
    <w:p w14:paraId="4AABD5D5" w14:textId="77777777" w:rsidR="000956C9" w:rsidRDefault="00F56A84">
      <w:pPr>
        <w:spacing w:after="80" w:line="240" w:lineRule="auto"/>
        <w:ind w:left="567" w:hanging="567"/>
        <w:jc w:val="left"/>
        <w:rPr>
          <w:lang w:val="el-GR"/>
        </w:rPr>
      </w:pPr>
      <w:r>
        <w:rPr>
          <w:sz w:val="20"/>
          <w:szCs w:val="20"/>
          <w:lang w:val="el-GR"/>
        </w:rPr>
        <w:t>Ν. 4808/2021. Για την Προστασία της Εργασίας – Σύσταση Ανεξάρτητης Αρχής «Επιθεώρηση Εργασίας» – Κύρωση της Σύμβασης 190 της Διεθνούς Οργάνωσης Εργασίας για την εξάλειψη της βίας και παρενόχλησης στον κόσμο της εργασίας – Κύρωση της Σύμβασης 187 της Διεθνούς Οργάνωσης Εργασίας για το Πλαίσιο Προώθησης της Ασφάλειας και της Υγείας στην Εργασία – Ενσωμάτωση της Οδηγίας (ΕΕ) 2019/1158 του Ευρωπαϊκού Κοινοβουλίου και του Συμβουλίου της 20ής Ιουνίου 2019 για την ισορροπία μεταξύ της επαγγελματικής και της ιδιωτικής ζωής, άλλες διατάξεις του Υπουργείου Εργασίας και Κοινωνικών Υποθέσεων και λοιπές επείγουσες ρυθμίσεις. ΦΕΚ Α΄ 101/19.6.2021.</w:t>
      </w:r>
    </w:p>
    <w:p w14:paraId="3D3718BB" w14:textId="77777777" w:rsidR="00E63D5B" w:rsidRPr="00132066" w:rsidRDefault="001F059D">
      <w:pPr>
        <w:spacing w:after="80" w:line="240" w:lineRule="auto"/>
        <w:ind w:left="567" w:hanging="567"/>
        <w:jc w:val="left"/>
        <w:rPr>
          <w:lang w:val="el-GR"/>
        </w:rPr>
      </w:pPr>
      <w:r>
        <w:rPr>
          <w:sz w:val="20"/>
          <w:szCs w:val="20"/>
          <w:lang w:val="el-GR"/>
        </w:rPr>
        <w:t>Ν. 5172/2025. Ενσωμάτωση της Οδηγίας (ΕΕ) 2024/1385 για την καταπολέμηση της βίας κατά των γυναικών και της εξ οικείων βίας και άλλες διατάξεις. ΦΕΚ Α΄.</w:t>
      </w:r>
    </w:p>
    <w:p w14:paraId="05BC9B4C" w14:textId="77777777" w:rsidR="00E63D5B" w:rsidRPr="00132066" w:rsidRDefault="001F059D">
      <w:pPr>
        <w:spacing w:after="80" w:line="240" w:lineRule="auto"/>
        <w:ind w:left="567" w:hanging="567"/>
        <w:jc w:val="left"/>
        <w:rPr>
          <w:lang w:val="el-GR"/>
        </w:rPr>
      </w:pPr>
      <w:r>
        <w:rPr>
          <w:sz w:val="20"/>
          <w:szCs w:val="20"/>
          <w:lang w:val="el-GR"/>
        </w:rPr>
        <w:t xml:space="preserve">Οδηγία 2012/29/ΕΕ του Ευρωπαϊκού Κοινοβουλίου και του Συμβουλίου, της 25ης Οκτωβρίου 2012, για τη θέσπιση ελάχιστων προτύπων σχετικά με τα δικαιώματα, την υποστήριξη και την προστασία θυμάτων της εγκληματικότητας. ΕΕ </w:t>
      </w:r>
      <w:r>
        <w:rPr>
          <w:sz w:val="20"/>
          <w:szCs w:val="20"/>
        </w:rPr>
        <w:t>L</w:t>
      </w:r>
      <w:r>
        <w:rPr>
          <w:sz w:val="20"/>
          <w:szCs w:val="20"/>
          <w:lang w:val="el-GR"/>
        </w:rPr>
        <w:t xml:space="preserve"> 315/57.</w:t>
      </w:r>
    </w:p>
    <w:p w14:paraId="2F9E7286" w14:textId="77777777" w:rsidR="00E63D5B" w:rsidRDefault="001F059D">
      <w:pPr>
        <w:spacing w:after="80" w:line="240" w:lineRule="auto"/>
        <w:ind w:left="567" w:hanging="567"/>
        <w:jc w:val="left"/>
      </w:pPr>
      <w:r>
        <w:rPr>
          <w:sz w:val="20"/>
          <w:szCs w:val="20"/>
          <w:lang w:val="el-GR"/>
        </w:rPr>
        <w:t xml:space="preserve">Οδηγία (ΕΕ) 2024/1385 του Ευρωπαϊκού Κοινοβουλίου και του Συμβουλίου, της 14ης Μαΐου 2024, για την καταπολέμηση της βίας κατά των γυναικών και της εξ οικείων βίας. </w:t>
      </w:r>
      <w:r>
        <w:rPr>
          <w:sz w:val="20"/>
          <w:szCs w:val="20"/>
        </w:rPr>
        <w:t>ΕΕ L, 2024/1385.</w:t>
      </w:r>
    </w:p>
    <w:sectPr w:rsidR="00E63D5B">
      <w:footerReference w:type="default" r:id="rId19"/>
      <w:pgSz w:w="11906" w:h="16838"/>
      <w:pgMar w:top="1417" w:right="1417" w:bottom="1247" w:left="141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5A3AB" w14:textId="77777777" w:rsidR="0000544A" w:rsidRDefault="0000544A">
      <w:pPr>
        <w:spacing w:after="0" w:line="240" w:lineRule="auto"/>
      </w:pPr>
      <w:r>
        <w:separator/>
      </w:r>
    </w:p>
  </w:endnote>
  <w:endnote w:type="continuationSeparator" w:id="0">
    <w:p w14:paraId="7F1F7DDF" w14:textId="77777777" w:rsidR="0000544A" w:rsidRDefault="00005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embedRegular r:id="rId1" w:fontKey="{93A061B0-F9E9-4E5E-BE73-2D22CCD61D8E}"/>
  </w:font>
  <w:font w:name="Calibri">
    <w:panose1 w:val="020F0502020204030204"/>
    <w:charset w:val="A1"/>
    <w:family w:val="swiss"/>
    <w:pitch w:val="variable"/>
    <w:sig w:usb0="E4002EFF" w:usb1="C200247B" w:usb2="00000009" w:usb3="00000000" w:csb0="000001FF" w:csb1="00000000"/>
    <w:embedRegular r:id="rId2" w:fontKey="{AD7DA7A8-B076-4682-91D9-2A697096E060}"/>
    <w:embedBold r:id="rId3" w:fontKey="{A4C512C6-538B-4DFB-A2A7-E8FD1F7F7E63}"/>
    <w:embedItalic r:id="rId4" w:fontKey="{25112E25-60F7-4232-BB7C-BD218B93B31E}"/>
    <w:embedBoldItalic r:id="rId5" w:fontKey="{3826D591-5E9A-4235-AB33-22CBF11485EF}"/>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A1"/>
    <w:family w:val="swiss"/>
    <w:pitch w:val="variable"/>
    <w:sig w:usb0="E4002EFF" w:usb1="C000E47F" w:usb2="00000009" w:usb3="00000000" w:csb0="000001FF" w:csb1="00000000"/>
    <w:embedRegular r:id="rId6" w:fontKey="{523DE1EB-4331-43DF-86FB-EFBCCD2B42EF}"/>
  </w:font>
  <w:font w:name="Cambria">
    <w:panose1 w:val="02040503050406030204"/>
    <w:charset w:val="A1"/>
    <w:family w:val="roman"/>
    <w:pitch w:val="variable"/>
    <w:sig w:usb0="E00006FF" w:usb1="420024FF" w:usb2="02000000" w:usb3="00000000" w:csb0="0000019F" w:csb1="00000000"/>
    <w:embedRegular r:id="rId7" w:fontKey="{0FC2718D-CEC8-495F-A600-7679E1493CB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02618" w14:textId="77777777" w:rsidR="001F54F0" w:rsidRDefault="001F54F0">
    <w:pPr>
      <w:pBdr>
        <w:top w:val="nil"/>
        <w:left w:val="nil"/>
        <w:bottom w:val="nil"/>
        <w:right w:val="nil"/>
        <w:between w:val="nil"/>
      </w:pBdr>
      <w:tabs>
        <w:tab w:val="center" w:pos="4680"/>
        <w:tab w:val="right" w:pos="9360"/>
      </w:tabs>
      <w:spacing w:after="0" w:line="240" w:lineRule="auto"/>
      <w:jc w:val="center"/>
      <w:rPr>
        <w:color w:val="000000"/>
      </w:rPr>
    </w:pPr>
    <w:r>
      <w:rPr>
        <w:color w:val="555555"/>
        <w:sz w:val="18"/>
        <w:szCs w:val="18"/>
      </w:rPr>
      <w:fldChar w:fldCharType="begin"/>
    </w:r>
    <w:r>
      <w:rPr>
        <w:color w:val="555555"/>
        <w:sz w:val="18"/>
        <w:szCs w:val="18"/>
      </w:rPr>
      <w:instrText>PAGE</w:instrText>
    </w:r>
    <w:r>
      <w:rPr>
        <w:color w:val="555555"/>
        <w:sz w:val="18"/>
        <w:szCs w:val="18"/>
      </w:rPr>
      <w:fldChar w:fldCharType="separate"/>
    </w:r>
    <w:r w:rsidR="009C3AC6">
      <w:rPr>
        <w:noProof/>
        <w:color w:val="555555"/>
        <w:sz w:val="18"/>
        <w:szCs w:val="18"/>
      </w:rPr>
      <w:t>16</w:t>
    </w:r>
    <w:r>
      <w:rPr>
        <w:color w:val="555555"/>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40C4C" w14:textId="77777777" w:rsidR="0000544A" w:rsidRDefault="0000544A">
      <w:pPr>
        <w:spacing w:after="0" w:line="240" w:lineRule="auto"/>
      </w:pPr>
      <w:r>
        <w:separator/>
      </w:r>
    </w:p>
  </w:footnote>
  <w:footnote w:type="continuationSeparator" w:id="0">
    <w:p w14:paraId="3BBB89B2" w14:textId="77777777" w:rsidR="0000544A" w:rsidRDefault="000054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EF2131"/>
    <w:multiLevelType w:val="multilevel"/>
    <w:tmpl w:val="97BA2A90"/>
    <w:lvl w:ilvl="0">
      <w:start w:val="1"/>
      <w:numFmt w:val="bullet"/>
      <w:pStyle w:val="a"/>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78AB1C4A"/>
    <w:multiLevelType w:val="multilevel"/>
    <w:tmpl w:val="0B80B18C"/>
    <w:lvl w:ilvl="0">
      <w:start w:val="1"/>
      <w:numFmt w:val="decimal"/>
      <w:pStyle w:val="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606040045">
    <w:abstractNumId w:val="0"/>
  </w:num>
  <w:num w:numId="2" w16cid:durableId="1763069343">
    <w:abstractNumId w:val="1"/>
  </w:num>
  <w:num w:numId="3" w16cid:durableId="165887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300927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288987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664231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D5B"/>
    <w:rsid w:val="00004EF8"/>
    <w:rsid w:val="0000544A"/>
    <w:rsid w:val="00010181"/>
    <w:rsid w:val="00017DB0"/>
    <w:rsid w:val="000340A3"/>
    <w:rsid w:val="00036015"/>
    <w:rsid w:val="00052C18"/>
    <w:rsid w:val="00072ADD"/>
    <w:rsid w:val="00093CA7"/>
    <w:rsid w:val="000956C9"/>
    <w:rsid w:val="000B7AA5"/>
    <w:rsid w:val="000C02EB"/>
    <w:rsid w:val="000C25FF"/>
    <w:rsid w:val="000C2877"/>
    <w:rsid w:val="000F39AF"/>
    <w:rsid w:val="00132066"/>
    <w:rsid w:val="00154E41"/>
    <w:rsid w:val="00156930"/>
    <w:rsid w:val="00160B94"/>
    <w:rsid w:val="00191B7B"/>
    <w:rsid w:val="001C44AC"/>
    <w:rsid w:val="001C5756"/>
    <w:rsid w:val="001F059D"/>
    <w:rsid w:val="001F54F0"/>
    <w:rsid w:val="001F6EE5"/>
    <w:rsid w:val="002259F0"/>
    <w:rsid w:val="00236626"/>
    <w:rsid w:val="00263476"/>
    <w:rsid w:val="00264B4E"/>
    <w:rsid w:val="002834F3"/>
    <w:rsid w:val="00294604"/>
    <w:rsid w:val="002964D3"/>
    <w:rsid w:val="002971AB"/>
    <w:rsid w:val="002A031F"/>
    <w:rsid w:val="002A40FB"/>
    <w:rsid w:val="002C3AEC"/>
    <w:rsid w:val="002C5826"/>
    <w:rsid w:val="002F41C9"/>
    <w:rsid w:val="00314E93"/>
    <w:rsid w:val="003265A1"/>
    <w:rsid w:val="00327DB3"/>
    <w:rsid w:val="003464AE"/>
    <w:rsid w:val="003811A6"/>
    <w:rsid w:val="003833C8"/>
    <w:rsid w:val="003A0D56"/>
    <w:rsid w:val="003B4C9F"/>
    <w:rsid w:val="003C7C87"/>
    <w:rsid w:val="003D14CC"/>
    <w:rsid w:val="003F641B"/>
    <w:rsid w:val="003F7237"/>
    <w:rsid w:val="00401681"/>
    <w:rsid w:val="00403800"/>
    <w:rsid w:val="00404B12"/>
    <w:rsid w:val="00411231"/>
    <w:rsid w:val="00422AC3"/>
    <w:rsid w:val="0043554F"/>
    <w:rsid w:val="0044471E"/>
    <w:rsid w:val="00450F5A"/>
    <w:rsid w:val="0046483F"/>
    <w:rsid w:val="00475369"/>
    <w:rsid w:val="00476B2B"/>
    <w:rsid w:val="00485A88"/>
    <w:rsid w:val="004A1639"/>
    <w:rsid w:val="004A4314"/>
    <w:rsid w:val="004A674C"/>
    <w:rsid w:val="004C5067"/>
    <w:rsid w:val="004D5412"/>
    <w:rsid w:val="004D5F1B"/>
    <w:rsid w:val="005051C2"/>
    <w:rsid w:val="00521C66"/>
    <w:rsid w:val="005339C7"/>
    <w:rsid w:val="00551C57"/>
    <w:rsid w:val="00574150"/>
    <w:rsid w:val="00585FC1"/>
    <w:rsid w:val="005A13CF"/>
    <w:rsid w:val="005A53EB"/>
    <w:rsid w:val="005B41DA"/>
    <w:rsid w:val="005B68EF"/>
    <w:rsid w:val="005C07B8"/>
    <w:rsid w:val="005C277D"/>
    <w:rsid w:val="005C3EC0"/>
    <w:rsid w:val="005D2D7E"/>
    <w:rsid w:val="005F2F8E"/>
    <w:rsid w:val="005F6A68"/>
    <w:rsid w:val="00604BEA"/>
    <w:rsid w:val="0064305C"/>
    <w:rsid w:val="00657DFD"/>
    <w:rsid w:val="00664BDC"/>
    <w:rsid w:val="006722E5"/>
    <w:rsid w:val="00673B6E"/>
    <w:rsid w:val="0069575F"/>
    <w:rsid w:val="006D4AD3"/>
    <w:rsid w:val="006D6BD7"/>
    <w:rsid w:val="006E4FAE"/>
    <w:rsid w:val="00702682"/>
    <w:rsid w:val="00703EE8"/>
    <w:rsid w:val="007059AF"/>
    <w:rsid w:val="00725EA6"/>
    <w:rsid w:val="00773A9B"/>
    <w:rsid w:val="00773B4F"/>
    <w:rsid w:val="00781FF6"/>
    <w:rsid w:val="007A75CB"/>
    <w:rsid w:val="007B5F9F"/>
    <w:rsid w:val="007D1F0C"/>
    <w:rsid w:val="007E14A8"/>
    <w:rsid w:val="007E6CD5"/>
    <w:rsid w:val="007F3330"/>
    <w:rsid w:val="007F4FF9"/>
    <w:rsid w:val="00800F55"/>
    <w:rsid w:val="0080165F"/>
    <w:rsid w:val="008146C6"/>
    <w:rsid w:val="008172F0"/>
    <w:rsid w:val="008535A5"/>
    <w:rsid w:val="00862AB5"/>
    <w:rsid w:val="00873DF4"/>
    <w:rsid w:val="00881FA2"/>
    <w:rsid w:val="00883C95"/>
    <w:rsid w:val="008A0211"/>
    <w:rsid w:val="008A397F"/>
    <w:rsid w:val="008C35EF"/>
    <w:rsid w:val="008D6031"/>
    <w:rsid w:val="008F71B3"/>
    <w:rsid w:val="009119CB"/>
    <w:rsid w:val="00912985"/>
    <w:rsid w:val="00916766"/>
    <w:rsid w:val="00943D4E"/>
    <w:rsid w:val="00951DA7"/>
    <w:rsid w:val="0095523F"/>
    <w:rsid w:val="0097423D"/>
    <w:rsid w:val="00995D7E"/>
    <w:rsid w:val="009C1C1F"/>
    <w:rsid w:val="009C3AC6"/>
    <w:rsid w:val="009E7F6B"/>
    <w:rsid w:val="00A00DDC"/>
    <w:rsid w:val="00A177CB"/>
    <w:rsid w:val="00A27305"/>
    <w:rsid w:val="00A37B0D"/>
    <w:rsid w:val="00A805C5"/>
    <w:rsid w:val="00A8365D"/>
    <w:rsid w:val="00AD5763"/>
    <w:rsid w:val="00AD7BBF"/>
    <w:rsid w:val="00AE647C"/>
    <w:rsid w:val="00AF0978"/>
    <w:rsid w:val="00AF3207"/>
    <w:rsid w:val="00B20D4C"/>
    <w:rsid w:val="00B34484"/>
    <w:rsid w:val="00B43FC6"/>
    <w:rsid w:val="00B504C3"/>
    <w:rsid w:val="00B575E0"/>
    <w:rsid w:val="00B64453"/>
    <w:rsid w:val="00B65055"/>
    <w:rsid w:val="00B80367"/>
    <w:rsid w:val="00BA4C4B"/>
    <w:rsid w:val="00BB2477"/>
    <w:rsid w:val="00BC78B4"/>
    <w:rsid w:val="00BD29E7"/>
    <w:rsid w:val="00BD4CFA"/>
    <w:rsid w:val="00BD6653"/>
    <w:rsid w:val="00BF0C37"/>
    <w:rsid w:val="00C051C8"/>
    <w:rsid w:val="00C15CEF"/>
    <w:rsid w:val="00C3765D"/>
    <w:rsid w:val="00C8777A"/>
    <w:rsid w:val="00CA6710"/>
    <w:rsid w:val="00CB388A"/>
    <w:rsid w:val="00CC018F"/>
    <w:rsid w:val="00CC29AE"/>
    <w:rsid w:val="00CC6829"/>
    <w:rsid w:val="00CC6AC2"/>
    <w:rsid w:val="00CE34AE"/>
    <w:rsid w:val="00CE7845"/>
    <w:rsid w:val="00CF1F5D"/>
    <w:rsid w:val="00D07ED5"/>
    <w:rsid w:val="00D21384"/>
    <w:rsid w:val="00D7580F"/>
    <w:rsid w:val="00D77D77"/>
    <w:rsid w:val="00D83B3A"/>
    <w:rsid w:val="00D842E3"/>
    <w:rsid w:val="00D84B1E"/>
    <w:rsid w:val="00D852FE"/>
    <w:rsid w:val="00DA4A1F"/>
    <w:rsid w:val="00DB0340"/>
    <w:rsid w:val="00DC6BB2"/>
    <w:rsid w:val="00DD3ADF"/>
    <w:rsid w:val="00DD59AA"/>
    <w:rsid w:val="00DF0B3C"/>
    <w:rsid w:val="00DF2C51"/>
    <w:rsid w:val="00DF4E3B"/>
    <w:rsid w:val="00DF5414"/>
    <w:rsid w:val="00E04566"/>
    <w:rsid w:val="00E377B5"/>
    <w:rsid w:val="00E45BD6"/>
    <w:rsid w:val="00E5059D"/>
    <w:rsid w:val="00E63D5B"/>
    <w:rsid w:val="00E77285"/>
    <w:rsid w:val="00EB7D96"/>
    <w:rsid w:val="00EC06CE"/>
    <w:rsid w:val="00ED35CD"/>
    <w:rsid w:val="00EF0F98"/>
    <w:rsid w:val="00EF2365"/>
    <w:rsid w:val="00F061C6"/>
    <w:rsid w:val="00F0621A"/>
    <w:rsid w:val="00F16580"/>
    <w:rsid w:val="00F2754C"/>
    <w:rsid w:val="00F44047"/>
    <w:rsid w:val="00F548F8"/>
    <w:rsid w:val="00F54E13"/>
    <w:rsid w:val="00F56A84"/>
    <w:rsid w:val="00F70144"/>
    <w:rsid w:val="00F73774"/>
    <w:rsid w:val="00F861C7"/>
    <w:rsid w:val="00FC1B8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C0606"/>
  <w15:docId w15:val="{EB92464D-EBB6-4413-9207-5714C38E0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l-GR" w:bidi="ar-SA"/>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Char"/>
    <w:uiPriority w:val="9"/>
    <w:qFormat/>
    <w:pPr>
      <w:keepNext/>
      <w:keepLines/>
      <w:spacing w:before="360"/>
      <w:jc w:val="left"/>
      <w:outlineLvl w:val="0"/>
    </w:pPr>
    <w:rPr>
      <w:b/>
      <w:bCs/>
      <w:color w:val="1D2B44"/>
      <w:sz w:val="36"/>
      <w:szCs w:val="36"/>
    </w:rPr>
  </w:style>
  <w:style w:type="paragraph" w:styleId="20">
    <w:name w:val="heading 2"/>
    <w:basedOn w:val="a0"/>
    <w:next w:val="a0"/>
    <w:link w:val="2Char"/>
    <w:uiPriority w:val="9"/>
    <w:unhideWhenUsed/>
    <w:qFormat/>
    <w:pPr>
      <w:keepNext/>
      <w:keepLines/>
      <w:spacing w:before="240"/>
      <w:jc w:val="left"/>
      <w:outlineLvl w:val="1"/>
    </w:pPr>
    <w:rPr>
      <w:b/>
      <w:bCs/>
      <w:color w:val="0070C0"/>
      <w:sz w:val="28"/>
      <w:szCs w:val="28"/>
    </w:rPr>
  </w:style>
  <w:style w:type="paragraph" w:styleId="3">
    <w:name w:val="heading 3"/>
    <w:basedOn w:val="a0"/>
    <w:next w:val="a0"/>
    <w:link w:val="3Char"/>
    <w:uiPriority w:val="9"/>
    <w:unhideWhenUsed/>
    <w:qFormat/>
    <w:pPr>
      <w:keepNext/>
      <w:keepLines/>
      <w:spacing w:before="240"/>
      <w:jc w:val="left"/>
      <w:outlineLvl w:val="2"/>
    </w:pPr>
    <w:rPr>
      <w:b/>
      <w:bCs/>
      <w:color w:val="1D2B44"/>
      <w:sz w:val="24"/>
      <w:szCs w:val="24"/>
    </w:rPr>
  </w:style>
  <w:style w:type="paragraph" w:styleId="4">
    <w:name w:val="heading 4"/>
    <w:basedOn w:val="a0"/>
    <w:next w:val="a0"/>
    <w:link w:val="4Char"/>
    <w:uiPriority w:val="9"/>
    <w:semiHidden/>
    <w:unhideWhenUsed/>
    <w:qFormat/>
    <w:pPr>
      <w:keepNext/>
      <w:keepLines/>
      <w:spacing w:before="200" w:after="0"/>
      <w:outlineLvl w:val="3"/>
    </w:pPr>
    <w:rPr>
      <w:b/>
      <w:bCs/>
      <w:i/>
      <w:iCs/>
      <w:color w:val="4F81BD"/>
    </w:rPr>
  </w:style>
  <w:style w:type="paragraph" w:styleId="5">
    <w:name w:val="heading 5"/>
    <w:basedOn w:val="a0"/>
    <w:next w:val="a0"/>
    <w:link w:val="5Char"/>
    <w:uiPriority w:val="9"/>
    <w:semiHidden/>
    <w:unhideWhenUsed/>
    <w:qFormat/>
    <w:pPr>
      <w:keepNext/>
      <w:keepLines/>
      <w:spacing w:before="200" w:after="0"/>
      <w:outlineLvl w:val="4"/>
    </w:pPr>
    <w:rPr>
      <w:color w:val="243F61"/>
    </w:rPr>
  </w:style>
  <w:style w:type="paragraph" w:styleId="6">
    <w:name w:val="heading 6"/>
    <w:basedOn w:val="a0"/>
    <w:next w:val="a0"/>
    <w:link w:val="6Char"/>
    <w:uiPriority w:val="9"/>
    <w:semiHidden/>
    <w:unhideWhenUsed/>
    <w:qFormat/>
    <w:pPr>
      <w:keepNext/>
      <w:keepLines/>
      <w:spacing w:before="200" w:after="0"/>
      <w:outlineLvl w:val="5"/>
    </w:pPr>
    <w:rPr>
      <w:i/>
      <w:iCs/>
      <w:color w:val="243F61"/>
    </w:rPr>
  </w:style>
  <w:style w:type="paragraph" w:styleId="7">
    <w:name w:val="heading 7"/>
    <w:basedOn w:val="a0"/>
    <w:next w:val="a0"/>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0"/>
    <w:next w:val="a0"/>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4">
    <w:name w:val="Title"/>
    <w:basedOn w:val="a0"/>
    <w:next w:val="a0"/>
    <w:link w:val="Char"/>
    <w:uiPriority w:val="10"/>
    <w:qFormat/>
    <w:pPr>
      <w:pBdr>
        <w:bottom w:val="single" w:sz="8" w:space="4" w:color="4F81BD"/>
      </w:pBdr>
      <w:spacing w:after="300" w:line="240" w:lineRule="auto"/>
    </w:pPr>
    <w:rPr>
      <w:color w:val="17365D"/>
      <w:sz w:val="52"/>
      <w:szCs w:val="52"/>
    </w:rPr>
  </w:style>
  <w:style w:type="paragraph" w:styleId="a5">
    <w:name w:val="header"/>
    <w:basedOn w:val="a0"/>
    <w:link w:val="Char0"/>
    <w:uiPriority w:val="99"/>
    <w:unhideWhenUsed/>
    <w:rsid w:val="00E618BF"/>
    <w:pPr>
      <w:tabs>
        <w:tab w:val="center" w:pos="4680"/>
        <w:tab w:val="right" w:pos="9360"/>
      </w:tabs>
      <w:spacing w:after="0" w:line="240" w:lineRule="auto"/>
    </w:pPr>
  </w:style>
  <w:style w:type="character" w:customStyle="1" w:styleId="Char0">
    <w:name w:val="Κεφαλίδα Char"/>
    <w:basedOn w:val="a1"/>
    <w:link w:val="a5"/>
    <w:uiPriority w:val="99"/>
    <w:rsid w:val="00E618BF"/>
  </w:style>
  <w:style w:type="paragraph" w:styleId="a6">
    <w:name w:val="footer"/>
    <w:basedOn w:val="a0"/>
    <w:link w:val="Char1"/>
    <w:uiPriority w:val="99"/>
    <w:unhideWhenUsed/>
    <w:rsid w:val="00E618BF"/>
    <w:pPr>
      <w:tabs>
        <w:tab w:val="center" w:pos="4680"/>
        <w:tab w:val="right" w:pos="9360"/>
      </w:tabs>
      <w:spacing w:after="0" w:line="240" w:lineRule="auto"/>
    </w:pPr>
  </w:style>
  <w:style w:type="character" w:customStyle="1" w:styleId="Char1">
    <w:name w:val="Υποσέλιδο Char"/>
    <w:basedOn w:val="a1"/>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1"/>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1"/>
    <w:link w:val="20"/>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1"/>
    <w:link w:val="3"/>
    <w:uiPriority w:val="9"/>
    <w:rsid w:val="00FC693F"/>
    <w:rPr>
      <w:rFonts w:asciiTheme="majorHAnsi" w:eastAsiaTheme="majorEastAsia" w:hAnsiTheme="majorHAnsi" w:cstheme="majorBidi"/>
      <w:b/>
      <w:bCs/>
      <w:color w:val="4F81BD" w:themeColor="accent1"/>
    </w:rPr>
  </w:style>
  <w:style w:type="character" w:customStyle="1" w:styleId="Char">
    <w:name w:val="Τίτλος Char"/>
    <w:basedOn w:val="a1"/>
    <w:link w:val="a4"/>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Char2">
    <w:name w:val="Υπότιτλος Char"/>
    <w:basedOn w:val="a1"/>
    <w:link w:val="a8"/>
    <w:uiPriority w:val="11"/>
    <w:rsid w:val="00FC693F"/>
    <w:rPr>
      <w:rFonts w:asciiTheme="majorHAnsi" w:eastAsiaTheme="majorEastAsia" w:hAnsiTheme="majorHAnsi" w:cstheme="majorBidi"/>
      <w:i/>
      <w:iCs/>
      <w:color w:val="4F81BD" w:themeColor="accent1"/>
      <w:spacing w:val="15"/>
      <w:sz w:val="24"/>
      <w:szCs w:val="24"/>
    </w:rPr>
  </w:style>
  <w:style w:type="paragraph" w:styleId="a9">
    <w:name w:val="List Paragraph"/>
    <w:basedOn w:val="a0"/>
    <w:uiPriority w:val="34"/>
    <w:qFormat/>
    <w:rsid w:val="00FC693F"/>
    <w:pPr>
      <w:ind w:left="720"/>
      <w:contextualSpacing/>
    </w:pPr>
  </w:style>
  <w:style w:type="paragraph" w:styleId="aa">
    <w:name w:val="Body Text"/>
    <w:basedOn w:val="a0"/>
    <w:link w:val="Char3"/>
    <w:uiPriority w:val="99"/>
    <w:unhideWhenUsed/>
    <w:rsid w:val="00AA1D8D"/>
  </w:style>
  <w:style w:type="character" w:customStyle="1" w:styleId="Char3">
    <w:name w:val="Σώμα κειμένου Char"/>
    <w:basedOn w:val="a1"/>
    <w:link w:val="aa"/>
    <w:uiPriority w:val="99"/>
    <w:rsid w:val="00AA1D8D"/>
  </w:style>
  <w:style w:type="paragraph" w:styleId="21">
    <w:name w:val="Body Text 2"/>
    <w:basedOn w:val="a0"/>
    <w:link w:val="2Char0"/>
    <w:uiPriority w:val="99"/>
    <w:unhideWhenUsed/>
    <w:rsid w:val="00AA1D8D"/>
    <w:pPr>
      <w:spacing w:line="480" w:lineRule="auto"/>
    </w:pPr>
  </w:style>
  <w:style w:type="character" w:customStyle="1" w:styleId="2Char0">
    <w:name w:val="Σώμα κείμενου 2 Char"/>
    <w:basedOn w:val="a1"/>
    <w:link w:val="21"/>
    <w:uiPriority w:val="99"/>
    <w:rsid w:val="00AA1D8D"/>
  </w:style>
  <w:style w:type="paragraph" w:styleId="30">
    <w:name w:val="Body Text 3"/>
    <w:basedOn w:val="a0"/>
    <w:link w:val="3Char0"/>
    <w:uiPriority w:val="99"/>
    <w:unhideWhenUsed/>
    <w:rsid w:val="00AA1D8D"/>
    <w:rPr>
      <w:sz w:val="16"/>
      <w:szCs w:val="16"/>
    </w:rPr>
  </w:style>
  <w:style w:type="character" w:customStyle="1" w:styleId="3Char0">
    <w:name w:val="Σώμα κείμενου 3 Char"/>
    <w:basedOn w:val="a1"/>
    <w:link w:val="30"/>
    <w:uiPriority w:val="99"/>
    <w:rsid w:val="00AA1D8D"/>
    <w:rPr>
      <w:sz w:val="16"/>
      <w:szCs w:val="16"/>
    </w:rPr>
  </w:style>
  <w:style w:type="paragraph" w:styleId="ab">
    <w:name w:val="List"/>
    <w:basedOn w:val="a0"/>
    <w:uiPriority w:val="99"/>
    <w:unhideWhenUsed/>
    <w:rsid w:val="00AA1D8D"/>
    <w:pPr>
      <w:ind w:left="360" w:hanging="360"/>
      <w:contextualSpacing/>
    </w:pPr>
  </w:style>
  <w:style w:type="paragraph" w:styleId="22">
    <w:name w:val="List 2"/>
    <w:basedOn w:val="a0"/>
    <w:uiPriority w:val="99"/>
    <w:unhideWhenUsed/>
    <w:rsid w:val="00326F90"/>
    <w:pPr>
      <w:ind w:left="720" w:hanging="360"/>
      <w:contextualSpacing/>
    </w:pPr>
  </w:style>
  <w:style w:type="paragraph" w:styleId="31">
    <w:name w:val="List 3"/>
    <w:basedOn w:val="a0"/>
    <w:uiPriority w:val="99"/>
    <w:unhideWhenUsed/>
    <w:rsid w:val="00326F90"/>
    <w:pPr>
      <w:ind w:left="1080" w:hanging="360"/>
      <w:contextualSpacing/>
    </w:pPr>
  </w:style>
  <w:style w:type="paragraph" w:styleId="a">
    <w:name w:val="List Bullet"/>
    <w:basedOn w:val="a0"/>
    <w:uiPriority w:val="99"/>
    <w:unhideWhenUsed/>
    <w:rsid w:val="00326F90"/>
    <w:pPr>
      <w:numPr>
        <w:numId w:val="1"/>
      </w:numPr>
      <w:contextualSpacing/>
    </w:pPr>
  </w:style>
  <w:style w:type="paragraph" w:styleId="2">
    <w:name w:val="List Bullet 2"/>
    <w:basedOn w:val="a0"/>
    <w:uiPriority w:val="99"/>
    <w:unhideWhenUsed/>
    <w:rsid w:val="00326F90"/>
    <w:pPr>
      <w:numPr>
        <w:numId w:val="2"/>
      </w:numPr>
      <w:contextualSpacing/>
    </w:pPr>
  </w:style>
  <w:style w:type="paragraph" w:styleId="32">
    <w:name w:val="List Bullet 3"/>
    <w:basedOn w:val="a0"/>
    <w:uiPriority w:val="99"/>
    <w:unhideWhenUsed/>
    <w:rsid w:val="00326F90"/>
    <w:pPr>
      <w:tabs>
        <w:tab w:val="num" w:pos="720"/>
      </w:tabs>
      <w:ind w:left="720" w:hanging="720"/>
      <w:contextualSpacing/>
    </w:pPr>
  </w:style>
  <w:style w:type="paragraph" w:styleId="ac">
    <w:name w:val="List Number"/>
    <w:basedOn w:val="a0"/>
    <w:uiPriority w:val="99"/>
    <w:unhideWhenUsed/>
    <w:rsid w:val="00326F90"/>
    <w:pPr>
      <w:tabs>
        <w:tab w:val="num" w:pos="720"/>
      </w:tabs>
      <w:ind w:left="720" w:hanging="720"/>
      <w:contextualSpacing/>
    </w:pPr>
  </w:style>
  <w:style w:type="paragraph" w:styleId="23">
    <w:name w:val="List Number 2"/>
    <w:basedOn w:val="a0"/>
    <w:uiPriority w:val="99"/>
    <w:unhideWhenUsed/>
    <w:rsid w:val="0029639D"/>
    <w:pPr>
      <w:tabs>
        <w:tab w:val="num" w:pos="720"/>
      </w:tabs>
      <w:ind w:left="720" w:hanging="720"/>
      <w:contextualSpacing/>
    </w:pPr>
  </w:style>
  <w:style w:type="paragraph" w:styleId="33">
    <w:name w:val="List Number 3"/>
    <w:basedOn w:val="a0"/>
    <w:uiPriority w:val="99"/>
    <w:unhideWhenUsed/>
    <w:rsid w:val="0029639D"/>
    <w:pPr>
      <w:tabs>
        <w:tab w:val="num" w:pos="720"/>
      </w:tabs>
      <w:ind w:left="720" w:hanging="720"/>
      <w:contextualSpacing/>
    </w:pPr>
  </w:style>
  <w:style w:type="paragraph" w:styleId="ad">
    <w:name w:val="List Continue"/>
    <w:basedOn w:val="a0"/>
    <w:uiPriority w:val="99"/>
    <w:unhideWhenUsed/>
    <w:rsid w:val="0029639D"/>
    <w:pPr>
      <w:ind w:left="360"/>
      <w:contextualSpacing/>
    </w:pPr>
  </w:style>
  <w:style w:type="paragraph" w:styleId="24">
    <w:name w:val="List Continue 2"/>
    <w:basedOn w:val="a0"/>
    <w:uiPriority w:val="99"/>
    <w:unhideWhenUsed/>
    <w:rsid w:val="0029639D"/>
    <w:pPr>
      <w:ind w:left="720"/>
      <w:contextualSpacing/>
    </w:pPr>
  </w:style>
  <w:style w:type="paragraph" w:styleId="34">
    <w:name w:val="List Continue 3"/>
    <w:basedOn w:val="a0"/>
    <w:uiPriority w:val="99"/>
    <w:unhideWhenUsed/>
    <w:rsid w:val="0029639D"/>
    <w:pPr>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1"/>
    <w:link w:val="ae"/>
    <w:uiPriority w:val="99"/>
    <w:rsid w:val="0029639D"/>
    <w:rPr>
      <w:rFonts w:ascii="Courier" w:hAnsi="Courier"/>
      <w:sz w:val="20"/>
      <w:szCs w:val="20"/>
    </w:rPr>
  </w:style>
  <w:style w:type="paragraph" w:styleId="af">
    <w:name w:val="Quote"/>
    <w:basedOn w:val="a0"/>
    <w:next w:val="a0"/>
    <w:link w:val="Char5"/>
    <w:uiPriority w:val="29"/>
    <w:qFormat/>
    <w:rsid w:val="00FC693F"/>
    <w:rPr>
      <w:i/>
      <w:iCs/>
      <w:color w:val="000000" w:themeColor="text1"/>
    </w:rPr>
  </w:style>
  <w:style w:type="character" w:customStyle="1" w:styleId="Char5">
    <w:name w:val="Απόσπασμα Char"/>
    <w:basedOn w:val="a1"/>
    <w:link w:val="af"/>
    <w:uiPriority w:val="29"/>
    <w:rsid w:val="00FC693F"/>
    <w:rPr>
      <w:i/>
      <w:iCs/>
      <w:color w:val="000000" w:themeColor="text1"/>
    </w:rPr>
  </w:style>
  <w:style w:type="character" w:customStyle="1" w:styleId="4Char">
    <w:name w:val="Επικεφαλίδα 4 Char"/>
    <w:basedOn w:val="a1"/>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1"/>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1"/>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1"/>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1"/>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1"/>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0"/>
    <w:next w:val="a0"/>
    <w:uiPriority w:val="35"/>
    <w:semiHidden/>
    <w:unhideWhenUsed/>
    <w:qFormat/>
    <w:rsid w:val="00FC693F"/>
    <w:pPr>
      <w:spacing w:line="240" w:lineRule="auto"/>
    </w:pPr>
    <w:rPr>
      <w:b/>
      <w:bCs/>
      <w:color w:val="4F81BD" w:themeColor="accent1"/>
      <w:sz w:val="18"/>
      <w:szCs w:val="18"/>
    </w:rPr>
  </w:style>
  <w:style w:type="character" w:styleId="af1">
    <w:name w:val="Strong"/>
    <w:basedOn w:val="a1"/>
    <w:uiPriority w:val="22"/>
    <w:qFormat/>
    <w:rsid w:val="00FC693F"/>
    <w:rPr>
      <w:b/>
      <w:bCs/>
    </w:rPr>
  </w:style>
  <w:style w:type="character" w:styleId="af2">
    <w:name w:val="Emphasis"/>
    <w:basedOn w:val="a1"/>
    <w:uiPriority w:val="20"/>
    <w:qFormat/>
    <w:rsid w:val="00FC693F"/>
    <w:rPr>
      <w:i/>
      <w:iCs/>
    </w:rPr>
  </w:style>
  <w:style w:type="paragraph" w:styleId="af3">
    <w:name w:val="Intense Quote"/>
    <w:basedOn w:val="a0"/>
    <w:next w:val="a0"/>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1"/>
    <w:link w:val="af3"/>
    <w:uiPriority w:val="30"/>
    <w:rsid w:val="00FC693F"/>
    <w:rPr>
      <w:b/>
      <w:bCs/>
      <w:i/>
      <w:iCs/>
      <w:color w:val="4F81BD" w:themeColor="accent1"/>
    </w:rPr>
  </w:style>
  <w:style w:type="character" w:styleId="af4">
    <w:name w:val="Subtle Emphasis"/>
    <w:basedOn w:val="a1"/>
    <w:uiPriority w:val="19"/>
    <w:qFormat/>
    <w:rsid w:val="00FC693F"/>
    <w:rPr>
      <w:i/>
      <w:iCs/>
      <w:color w:val="808080" w:themeColor="text1" w:themeTint="7F"/>
    </w:rPr>
  </w:style>
  <w:style w:type="character" w:styleId="af5">
    <w:name w:val="Intense Emphasis"/>
    <w:basedOn w:val="a1"/>
    <w:uiPriority w:val="21"/>
    <w:qFormat/>
    <w:rsid w:val="00FC693F"/>
    <w:rPr>
      <w:b/>
      <w:bCs/>
      <w:i/>
      <w:iCs/>
      <w:color w:val="4F81BD" w:themeColor="accent1"/>
    </w:rPr>
  </w:style>
  <w:style w:type="character" w:styleId="af6">
    <w:name w:val="Subtle Reference"/>
    <w:basedOn w:val="a1"/>
    <w:uiPriority w:val="31"/>
    <w:qFormat/>
    <w:rsid w:val="00FC693F"/>
    <w:rPr>
      <w:smallCaps/>
      <w:color w:val="C0504D" w:themeColor="accent2"/>
      <w:u w:val="single"/>
    </w:rPr>
  </w:style>
  <w:style w:type="character" w:styleId="af7">
    <w:name w:val="Intense Reference"/>
    <w:basedOn w:val="a1"/>
    <w:uiPriority w:val="32"/>
    <w:qFormat/>
    <w:rsid w:val="00FC693F"/>
    <w:rPr>
      <w:b/>
      <w:bCs/>
      <w:smallCaps/>
      <w:color w:val="C0504D" w:themeColor="accent2"/>
      <w:spacing w:val="5"/>
      <w:u w:val="single"/>
    </w:rPr>
  </w:style>
  <w:style w:type="character" w:styleId="af8">
    <w:name w:val="Book Title"/>
    <w:basedOn w:val="a1"/>
    <w:uiPriority w:val="33"/>
    <w:qFormat/>
    <w:rsid w:val="00FC693F"/>
    <w:rPr>
      <w:b/>
      <w:bCs/>
      <w:smallCaps/>
      <w:spacing w:val="5"/>
    </w:rPr>
  </w:style>
  <w:style w:type="paragraph" w:styleId="af9">
    <w:name w:val="TOC Heading"/>
    <w:basedOn w:val="1"/>
    <w:next w:val="a0"/>
    <w:uiPriority w:val="39"/>
    <w:semiHidden/>
    <w:unhideWhenUsed/>
    <w:qFormat/>
    <w:rsid w:val="00FC693F"/>
    <w:pPr>
      <w:outlineLvl w:val="9"/>
    </w:pPr>
  </w:style>
  <w:style w:type="table" w:styleId="afa">
    <w:name w:val="Table Grid"/>
    <w:basedOn w:val="a2"/>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2"/>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2"/>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2"/>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2"/>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2"/>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2"/>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2"/>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2"/>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2"/>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2"/>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2"/>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2"/>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2"/>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2"/>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2"/>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2"/>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2"/>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2"/>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2"/>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2"/>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2"/>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2"/>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2"/>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2"/>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2"/>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2"/>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2"/>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2"/>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2"/>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2"/>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2"/>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2"/>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2"/>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2"/>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2"/>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2"/>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2"/>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2"/>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2"/>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2"/>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2"/>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2"/>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2"/>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2"/>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2"/>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2"/>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2"/>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2"/>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2"/>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2"/>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2"/>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2"/>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2"/>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2"/>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2"/>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2"/>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2"/>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2"/>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2"/>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2"/>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13">
    <w:name w:val="toc 1"/>
    <w:basedOn w:val="a0"/>
    <w:next w:val="a0"/>
    <w:autoRedefine/>
    <w:uiPriority w:val="39"/>
    <w:unhideWhenUsed/>
    <w:rsid w:val="000D1051"/>
    <w:pPr>
      <w:spacing w:after="100"/>
    </w:pPr>
  </w:style>
  <w:style w:type="paragraph" w:styleId="28">
    <w:name w:val="toc 2"/>
    <w:basedOn w:val="a0"/>
    <w:next w:val="a0"/>
    <w:autoRedefine/>
    <w:uiPriority w:val="39"/>
    <w:unhideWhenUsed/>
    <w:rsid w:val="000D1051"/>
    <w:pPr>
      <w:spacing w:after="100"/>
      <w:ind w:left="220"/>
    </w:pPr>
  </w:style>
  <w:style w:type="character" w:styleId="-">
    <w:name w:val="Hyperlink"/>
    <w:basedOn w:val="a1"/>
    <w:uiPriority w:val="99"/>
    <w:unhideWhenUsed/>
    <w:rsid w:val="000D1051"/>
    <w:rPr>
      <w:color w:val="0000FF" w:themeColor="hyperlink"/>
      <w:u w:val="single"/>
    </w:rPr>
  </w:style>
  <w:style w:type="paragraph" w:styleId="a8">
    <w:name w:val="Subtitle"/>
    <w:basedOn w:val="a0"/>
    <w:next w:val="a0"/>
    <w:link w:val="Char2"/>
    <w:uiPriority w:val="11"/>
    <w:qFormat/>
    <w:rPr>
      <w:i/>
      <w:iCs/>
      <w:color w:val="4F81BD"/>
      <w:sz w:val="24"/>
      <w:szCs w:val="24"/>
    </w:rPr>
  </w:style>
  <w:style w:type="table" w:customStyle="1" w:styleId="aff2">
    <w:basedOn w:val="a2"/>
    <w:tblPr>
      <w:tblStyleRowBandSize w:val="1"/>
      <w:tblStyleColBandSize w:val="1"/>
      <w:tblCellMar>
        <w:left w:w="115" w:type="dxa"/>
        <w:right w:w="115" w:type="dxa"/>
      </w:tblCellMar>
    </w:tblPr>
  </w:style>
  <w:style w:type="table" w:customStyle="1" w:styleId="aff3">
    <w:basedOn w:val="a2"/>
    <w:tblPr>
      <w:tblStyleRowBandSize w:val="1"/>
      <w:tblStyleColBandSize w:val="1"/>
      <w:tblCellMar>
        <w:left w:w="115" w:type="dxa"/>
        <w:right w:w="115" w:type="dxa"/>
      </w:tblCellMar>
    </w:tblPr>
  </w:style>
  <w:style w:type="table" w:customStyle="1" w:styleId="aff4">
    <w:basedOn w:val="a2"/>
    <w:tblPr>
      <w:tblStyleRowBandSize w:val="1"/>
      <w:tblStyleColBandSize w:val="1"/>
      <w:tblCellMar>
        <w:left w:w="115" w:type="dxa"/>
        <w:right w:w="115" w:type="dxa"/>
      </w:tblCellMar>
    </w:tblPr>
  </w:style>
  <w:style w:type="table" w:customStyle="1" w:styleId="aff5">
    <w:basedOn w:val="a2"/>
    <w:tblPr>
      <w:tblStyleRowBandSize w:val="1"/>
      <w:tblStyleColBandSize w:val="1"/>
      <w:tblCellMar>
        <w:left w:w="115" w:type="dxa"/>
        <w:right w:w="115" w:type="dxa"/>
      </w:tblCellMar>
    </w:tblPr>
  </w:style>
  <w:style w:type="table" w:customStyle="1" w:styleId="aff6">
    <w:basedOn w:val="a2"/>
    <w:tblPr>
      <w:tblStyleRowBandSize w:val="1"/>
      <w:tblStyleColBandSize w:val="1"/>
      <w:tblCellMar>
        <w:left w:w="115" w:type="dxa"/>
        <w:right w:w="115" w:type="dxa"/>
      </w:tblCellMar>
    </w:tblPr>
  </w:style>
  <w:style w:type="table" w:customStyle="1" w:styleId="aff7">
    <w:basedOn w:val="a2"/>
    <w:tblPr>
      <w:tblStyleRowBandSize w:val="1"/>
      <w:tblStyleColBandSize w:val="1"/>
      <w:tblCellMar>
        <w:left w:w="115" w:type="dxa"/>
        <w:right w:w="115" w:type="dxa"/>
      </w:tblCellMar>
    </w:tblPr>
  </w:style>
  <w:style w:type="table" w:customStyle="1" w:styleId="aff8">
    <w:basedOn w:val="a2"/>
    <w:tblPr>
      <w:tblStyleRowBandSize w:val="1"/>
      <w:tblStyleColBandSize w:val="1"/>
      <w:tblCellMar>
        <w:left w:w="115" w:type="dxa"/>
        <w:right w:w="115" w:type="dxa"/>
      </w:tblCellMar>
    </w:tblPr>
  </w:style>
  <w:style w:type="table" w:customStyle="1" w:styleId="aff9">
    <w:basedOn w:val="a2"/>
    <w:tblPr>
      <w:tblStyleRowBandSize w:val="1"/>
      <w:tblStyleColBandSize w:val="1"/>
      <w:tblCellMar>
        <w:left w:w="115" w:type="dxa"/>
        <w:right w:w="115" w:type="dxa"/>
      </w:tblCellMar>
    </w:tblPr>
  </w:style>
  <w:style w:type="table" w:customStyle="1" w:styleId="affa">
    <w:basedOn w:val="a2"/>
    <w:tblPr>
      <w:tblStyleRowBandSize w:val="1"/>
      <w:tblStyleColBandSize w:val="1"/>
      <w:tblCellMar>
        <w:left w:w="115" w:type="dxa"/>
        <w:right w:w="115" w:type="dxa"/>
      </w:tblCellMar>
    </w:tblPr>
  </w:style>
  <w:style w:type="table" w:customStyle="1" w:styleId="affb">
    <w:basedOn w:val="a2"/>
    <w:tblPr>
      <w:tblStyleRowBandSize w:val="1"/>
      <w:tblStyleColBandSize w:val="1"/>
      <w:tblCellMar>
        <w:left w:w="115" w:type="dxa"/>
        <w:right w:w="115" w:type="dxa"/>
      </w:tblCellMar>
    </w:tblPr>
  </w:style>
  <w:style w:type="table" w:customStyle="1" w:styleId="affc">
    <w:basedOn w:val="a2"/>
    <w:tblPr>
      <w:tblStyleRowBandSize w:val="1"/>
      <w:tblStyleColBandSize w:val="1"/>
      <w:tblCellMar>
        <w:left w:w="115" w:type="dxa"/>
        <w:right w:w="115" w:type="dxa"/>
      </w:tblCellMar>
    </w:tblPr>
  </w:style>
  <w:style w:type="table" w:customStyle="1" w:styleId="affd">
    <w:basedOn w:val="a2"/>
    <w:tblPr>
      <w:tblStyleRowBandSize w:val="1"/>
      <w:tblStyleColBandSize w:val="1"/>
      <w:tblCellMar>
        <w:left w:w="115" w:type="dxa"/>
        <w:right w:w="115" w:type="dxa"/>
      </w:tblCellMar>
    </w:tblPr>
  </w:style>
  <w:style w:type="table" w:customStyle="1" w:styleId="affe">
    <w:basedOn w:val="a2"/>
    <w:tblPr>
      <w:tblStyleRowBandSize w:val="1"/>
      <w:tblStyleColBandSize w:val="1"/>
      <w:tblCellMar>
        <w:left w:w="115" w:type="dxa"/>
        <w:right w:w="115" w:type="dxa"/>
      </w:tblCellMar>
    </w:tblPr>
  </w:style>
  <w:style w:type="table" w:customStyle="1" w:styleId="afff">
    <w:basedOn w:val="a2"/>
    <w:tblPr>
      <w:tblStyleRowBandSize w:val="1"/>
      <w:tblStyleColBandSize w:val="1"/>
      <w:tblCellMar>
        <w:left w:w="115" w:type="dxa"/>
        <w:right w:w="115" w:type="dxa"/>
      </w:tblCellMar>
    </w:tblPr>
  </w:style>
  <w:style w:type="table" w:customStyle="1" w:styleId="afff0">
    <w:basedOn w:val="a2"/>
    <w:tblPr>
      <w:tblStyleRowBandSize w:val="1"/>
      <w:tblStyleColBandSize w:val="1"/>
      <w:tblCellMar>
        <w:left w:w="115" w:type="dxa"/>
        <w:right w:w="115" w:type="dxa"/>
      </w:tblCellMar>
    </w:tblPr>
  </w:style>
  <w:style w:type="table" w:customStyle="1" w:styleId="afff1">
    <w:basedOn w:val="a2"/>
    <w:tblPr>
      <w:tblStyleRowBandSize w:val="1"/>
      <w:tblStyleColBandSize w:val="1"/>
      <w:tblCellMar>
        <w:left w:w="115" w:type="dxa"/>
        <w:right w:w="115" w:type="dxa"/>
      </w:tblCellMar>
    </w:tblPr>
  </w:style>
  <w:style w:type="table" w:customStyle="1" w:styleId="afff2">
    <w:basedOn w:val="a2"/>
    <w:tblPr>
      <w:tblStyleRowBandSize w:val="1"/>
      <w:tblStyleColBandSize w:val="1"/>
      <w:tblCellMar>
        <w:left w:w="115" w:type="dxa"/>
        <w:right w:w="115" w:type="dxa"/>
      </w:tblCellMar>
    </w:tblPr>
  </w:style>
  <w:style w:type="table" w:customStyle="1" w:styleId="afff3">
    <w:basedOn w:val="a2"/>
    <w:tblPr>
      <w:tblStyleRowBandSize w:val="1"/>
      <w:tblStyleColBandSize w:val="1"/>
      <w:tblCellMar>
        <w:left w:w="115" w:type="dxa"/>
        <w:right w:w="115" w:type="dxa"/>
      </w:tblCellMar>
    </w:tblPr>
  </w:style>
  <w:style w:type="table" w:customStyle="1" w:styleId="afff4">
    <w:basedOn w:val="a2"/>
    <w:tblPr>
      <w:tblStyleRowBandSize w:val="1"/>
      <w:tblStyleColBandSize w:val="1"/>
      <w:tblCellMar>
        <w:left w:w="115" w:type="dxa"/>
        <w:right w:w="115" w:type="dxa"/>
      </w:tblCellMar>
    </w:tblPr>
  </w:style>
  <w:style w:type="table" w:customStyle="1" w:styleId="afff5">
    <w:basedOn w:val="a2"/>
    <w:tblPr>
      <w:tblStyleRowBandSize w:val="1"/>
      <w:tblStyleColBandSize w:val="1"/>
      <w:tblCellMar>
        <w:left w:w="115" w:type="dxa"/>
        <w:right w:w="115" w:type="dxa"/>
      </w:tblCellMar>
    </w:tblPr>
  </w:style>
  <w:style w:type="table" w:customStyle="1" w:styleId="afff6">
    <w:basedOn w:val="a2"/>
    <w:tblPr>
      <w:tblStyleRowBandSize w:val="1"/>
      <w:tblStyleColBandSize w:val="1"/>
      <w:tblCellMar>
        <w:left w:w="115" w:type="dxa"/>
        <w:right w:w="115" w:type="dxa"/>
      </w:tblCellMar>
    </w:tblPr>
  </w:style>
  <w:style w:type="table" w:customStyle="1" w:styleId="afff7">
    <w:basedOn w:val="a2"/>
    <w:tblPr>
      <w:tblStyleRowBandSize w:val="1"/>
      <w:tblStyleColBandSize w:val="1"/>
      <w:tblCellMar>
        <w:left w:w="115" w:type="dxa"/>
        <w:right w:w="115" w:type="dxa"/>
      </w:tblCellMar>
    </w:tblPr>
  </w:style>
  <w:style w:type="table" w:customStyle="1" w:styleId="afff8">
    <w:basedOn w:val="a2"/>
    <w:tblPr>
      <w:tblStyleRowBandSize w:val="1"/>
      <w:tblStyleColBandSize w:val="1"/>
      <w:tblCellMar>
        <w:left w:w="115" w:type="dxa"/>
        <w:right w:w="115" w:type="dxa"/>
      </w:tblCellMar>
    </w:tblPr>
  </w:style>
  <w:style w:type="paragraph" w:styleId="afff9">
    <w:name w:val="Revision"/>
    <w:hidden/>
    <w:uiPriority w:val="99"/>
    <w:semiHidden/>
    <w:rsid w:val="00132066"/>
    <w:pPr>
      <w:spacing w:after="0" w:line="240" w:lineRule="auto"/>
      <w:jc w:val="left"/>
    </w:pPr>
  </w:style>
  <w:style w:type="character" w:styleId="afffa">
    <w:name w:val="annotation reference"/>
    <w:basedOn w:val="a1"/>
    <w:uiPriority w:val="99"/>
    <w:semiHidden/>
    <w:unhideWhenUsed/>
    <w:rsid w:val="00A177CB"/>
    <w:rPr>
      <w:sz w:val="16"/>
      <w:szCs w:val="16"/>
    </w:rPr>
  </w:style>
  <w:style w:type="paragraph" w:styleId="afffb">
    <w:name w:val="annotation text"/>
    <w:basedOn w:val="a0"/>
    <w:link w:val="Char7"/>
    <w:uiPriority w:val="99"/>
    <w:unhideWhenUsed/>
    <w:rsid w:val="00A177CB"/>
    <w:pPr>
      <w:spacing w:line="240" w:lineRule="auto"/>
    </w:pPr>
    <w:rPr>
      <w:sz w:val="20"/>
      <w:szCs w:val="20"/>
    </w:rPr>
  </w:style>
  <w:style w:type="character" w:customStyle="1" w:styleId="Char7">
    <w:name w:val="Κείμενο σχολίου Char"/>
    <w:basedOn w:val="a1"/>
    <w:link w:val="afffb"/>
    <w:uiPriority w:val="99"/>
    <w:rsid w:val="00A177CB"/>
    <w:rPr>
      <w:sz w:val="20"/>
      <w:szCs w:val="20"/>
    </w:rPr>
  </w:style>
  <w:style w:type="paragraph" w:styleId="afffc">
    <w:name w:val="annotation subject"/>
    <w:basedOn w:val="afffb"/>
    <w:next w:val="afffb"/>
    <w:link w:val="Char8"/>
    <w:uiPriority w:val="99"/>
    <w:semiHidden/>
    <w:unhideWhenUsed/>
    <w:rsid w:val="00A177CB"/>
    <w:rPr>
      <w:b/>
      <w:bCs/>
    </w:rPr>
  </w:style>
  <w:style w:type="character" w:customStyle="1" w:styleId="Char8">
    <w:name w:val="Θέμα σχολίου Char"/>
    <w:basedOn w:val="Char7"/>
    <w:link w:val="afffc"/>
    <w:uiPriority w:val="99"/>
    <w:semiHidden/>
    <w:rsid w:val="00A177CB"/>
    <w:rPr>
      <w:b/>
      <w:bCs/>
      <w:sz w:val="20"/>
      <w:szCs w:val="20"/>
    </w:rPr>
  </w:style>
  <w:style w:type="paragraph" w:styleId="afffd">
    <w:name w:val="Balloon Text"/>
    <w:basedOn w:val="a0"/>
    <w:link w:val="Char9"/>
    <w:uiPriority w:val="99"/>
    <w:semiHidden/>
    <w:unhideWhenUsed/>
    <w:rsid w:val="003265A1"/>
    <w:pPr>
      <w:spacing w:after="0" w:line="240" w:lineRule="auto"/>
    </w:pPr>
    <w:rPr>
      <w:rFonts w:ascii="Segoe UI" w:hAnsi="Segoe UI" w:cs="Segoe UI"/>
      <w:sz w:val="18"/>
      <w:szCs w:val="18"/>
    </w:rPr>
  </w:style>
  <w:style w:type="character" w:customStyle="1" w:styleId="Char9">
    <w:name w:val="Κείμενο πλαισίου Char"/>
    <w:basedOn w:val="a1"/>
    <w:link w:val="afffd"/>
    <w:uiPriority w:val="99"/>
    <w:semiHidden/>
    <w:rsid w:val="003265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ijyYzub1PS1HopaUfOrWFpP00Q==">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71BE314-942C-4C64-8E85-586050107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Pages>
  <Words>58944</Words>
  <Characters>318299</Characters>
  <Application>Microsoft Office Word</Application>
  <DocSecurity>0</DocSecurity>
  <Lines>2652</Lines>
  <Paragraphs>752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python-docx</dc:creator>
  <cp:lastModifiedBy>Ρούλα Παπαρούνη</cp:lastModifiedBy>
  <cp:revision>43</cp:revision>
  <cp:lastPrinted>2026-10-15T05:40:00Z</cp:lastPrinted>
  <dcterms:created xsi:type="dcterms:W3CDTF">2026-10-13T06:47:00Z</dcterms:created>
  <dcterms:modified xsi:type="dcterms:W3CDTF">2026-10-16T07:45:00Z</dcterms:modified>
</cp:coreProperties>
</file>